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FEE1" w14:textId="36EE8898" w:rsidR="002165E0" w:rsidRPr="002165E0" w:rsidRDefault="002165E0" w:rsidP="002165E0">
      <w:pPr>
        <w:spacing w:line="276" w:lineRule="auto"/>
        <w:jc w:val="center"/>
        <w:rPr>
          <w:b/>
          <w:bCs/>
          <w:sz w:val="40"/>
          <w:szCs w:val="40"/>
        </w:rPr>
      </w:pPr>
      <w:bookmarkStart w:id="0" w:name="_GoBack"/>
      <w:bookmarkEnd w:id="0"/>
      <w:r w:rsidRPr="002165E0">
        <w:rPr>
          <w:b/>
          <w:bCs/>
          <w:sz w:val="40"/>
          <w:szCs w:val="40"/>
        </w:rPr>
        <w:t>Pre-</w:t>
      </w:r>
      <w:r w:rsidR="005674FC">
        <w:rPr>
          <w:b/>
          <w:bCs/>
          <w:sz w:val="40"/>
          <w:szCs w:val="40"/>
        </w:rPr>
        <w:t>P</w:t>
      </w:r>
      <w:r w:rsidRPr="002165E0">
        <w:rPr>
          <w:b/>
          <w:bCs/>
          <w:sz w:val="40"/>
          <w:szCs w:val="40"/>
        </w:rPr>
        <w:t>roposal Form</w:t>
      </w:r>
      <w:r w:rsidR="003D49CF">
        <w:rPr>
          <w:b/>
          <w:bCs/>
          <w:sz w:val="40"/>
          <w:szCs w:val="40"/>
        </w:rPr>
        <w:t xml:space="preserve"> for </w:t>
      </w:r>
      <w:bookmarkStart w:id="1" w:name="_Hlk160707140"/>
      <w:r w:rsidR="003D49CF">
        <w:rPr>
          <w:b/>
          <w:bCs/>
          <w:sz w:val="40"/>
          <w:szCs w:val="40"/>
        </w:rPr>
        <w:t>Erasmus</w:t>
      </w:r>
      <w:r w:rsidR="005E1F7B">
        <w:rPr>
          <w:b/>
          <w:bCs/>
          <w:sz w:val="40"/>
          <w:szCs w:val="40"/>
        </w:rPr>
        <w:t>+ CBHE</w:t>
      </w:r>
      <w:bookmarkEnd w:id="1"/>
    </w:p>
    <w:p w14:paraId="09DB9DDC" w14:textId="5E58816A" w:rsidR="0010147F" w:rsidRPr="00871968" w:rsidRDefault="001C790E" w:rsidP="0010147F">
      <w:pPr>
        <w:spacing w:line="276" w:lineRule="auto"/>
        <w:rPr>
          <w:b/>
          <w:bCs/>
          <w:sz w:val="24"/>
          <w:szCs w:val="24"/>
        </w:rPr>
      </w:pPr>
      <w:r w:rsidRPr="00871968">
        <w:rPr>
          <w:b/>
          <w:bCs/>
          <w:sz w:val="24"/>
          <w:szCs w:val="24"/>
        </w:rPr>
        <w:t xml:space="preserve">Project name: </w:t>
      </w:r>
      <w:r w:rsidR="00960C60" w:rsidRPr="00871968">
        <w:rPr>
          <w:sz w:val="24"/>
          <w:szCs w:val="24"/>
        </w:rPr>
        <w:t>[Advancing university financial management practices in Southeast Asia]</w:t>
      </w:r>
      <w:r w:rsidRPr="00871968">
        <w:rPr>
          <w:b/>
          <w:bCs/>
          <w:sz w:val="24"/>
          <w:szCs w:val="24"/>
        </w:rPr>
        <w:br/>
        <w:t>Project acronym:</w:t>
      </w:r>
      <w:r w:rsidR="00960C60" w:rsidRPr="00871968">
        <w:rPr>
          <w:b/>
          <w:bCs/>
          <w:sz w:val="24"/>
          <w:szCs w:val="24"/>
        </w:rPr>
        <w:t xml:space="preserve"> </w:t>
      </w:r>
      <w:r w:rsidR="00960C60" w:rsidRPr="00871968">
        <w:rPr>
          <w:sz w:val="24"/>
          <w:szCs w:val="24"/>
        </w:rPr>
        <w:t>[ex. ADVANSE]</w:t>
      </w:r>
      <w:r w:rsidRPr="00871968">
        <w:rPr>
          <w:b/>
          <w:bCs/>
          <w:sz w:val="24"/>
          <w:szCs w:val="24"/>
        </w:rPr>
        <w:t xml:space="preserve"> </w:t>
      </w:r>
      <w:r w:rsidRPr="00871968">
        <w:rPr>
          <w:b/>
          <w:bCs/>
          <w:sz w:val="24"/>
          <w:szCs w:val="24"/>
        </w:rPr>
        <w:br/>
        <w:t>Coordinator contact:</w:t>
      </w:r>
      <w:r w:rsidR="00960C60" w:rsidRPr="00871968">
        <w:rPr>
          <w:b/>
          <w:bCs/>
          <w:sz w:val="24"/>
          <w:szCs w:val="24"/>
        </w:rPr>
        <w:t xml:space="preserve"> </w:t>
      </w:r>
      <w:r w:rsidR="00960C60" w:rsidRPr="00871968">
        <w:rPr>
          <w:sz w:val="24"/>
          <w:szCs w:val="24"/>
        </w:rPr>
        <w:t xml:space="preserve">[Name, Position, </w:t>
      </w:r>
      <w:r w:rsidR="00EC6DAF" w:rsidRPr="00871968">
        <w:rPr>
          <w:sz w:val="24"/>
          <w:szCs w:val="24"/>
        </w:rPr>
        <w:t>Affiliation, E-mail</w:t>
      </w:r>
      <w:r w:rsidR="00960C60" w:rsidRPr="00871968">
        <w:rPr>
          <w:sz w:val="24"/>
          <w:szCs w:val="24"/>
        </w:rPr>
        <w:t>]</w:t>
      </w:r>
      <w:r w:rsidR="008A6080" w:rsidRPr="00871968">
        <w:rPr>
          <w:b/>
          <w:bCs/>
          <w:sz w:val="24"/>
          <w:szCs w:val="24"/>
        </w:rPr>
        <w:br/>
      </w:r>
      <w:r w:rsidR="0010147F" w:rsidRPr="00871968">
        <w:rPr>
          <w:b/>
          <w:bCs/>
          <w:sz w:val="24"/>
          <w:szCs w:val="24"/>
        </w:rPr>
        <w:t>Choose one of the following types</w:t>
      </w:r>
      <w:r w:rsidR="00B31C0D" w:rsidRPr="00871968">
        <w:rPr>
          <w:b/>
          <w:bCs/>
          <w:sz w:val="24"/>
          <w:szCs w:val="24"/>
        </w:rPr>
        <w:t xml:space="preserve"> and strands</w:t>
      </w:r>
    </w:p>
    <w:p w14:paraId="6194BBE7" w14:textId="00E2F3C4" w:rsidR="0010147F" w:rsidRPr="00871968" w:rsidRDefault="000A26AB" w:rsidP="0010147F">
      <w:pPr>
        <w:pStyle w:val="ListParagraph"/>
        <w:numPr>
          <w:ilvl w:val="0"/>
          <w:numId w:val="2"/>
        </w:numPr>
        <w:spacing w:after="0" w:line="276" w:lineRule="auto"/>
        <w:rPr>
          <w:b/>
          <w:bCs/>
          <w:sz w:val="24"/>
          <w:szCs w:val="24"/>
        </w:rPr>
      </w:pPr>
      <w:r w:rsidRPr="00871968">
        <w:rPr>
          <w:b/>
          <w:bCs/>
          <w:sz w:val="24"/>
          <w:szCs w:val="24"/>
        </w:rPr>
        <w:t xml:space="preserve">National projects </w:t>
      </w:r>
    </w:p>
    <w:p w14:paraId="19FFBE73"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1: Fostering access to cooperation in higher education</w:t>
      </w:r>
    </w:p>
    <w:p w14:paraId="725A5BE9" w14:textId="27473DED" w:rsidR="00B31C0D" w:rsidRPr="00871968" w:rsidRDefault="00B31C0D" w:rsidP="00B31C0D">
      <w:pPr>
        <w:spacing w:line="276" w:lineRule="auto"/>
        <w:ind w:left="1800"/>
        <w:rPr>
          <w:sz w:val="24"/>
          <w:szCs w:val="24"/>
        </w:rPr>
      </w:pPr>
      <w:r w:rsidRPr="00871968">
        <w:rPr>
          <w:sz w:val="24"/>
          <w:szCs w:val="24"/>
        </w:rPr>
        <w:t>▪ Projects can last 24 or 36 months</w:t>
      </w:r>
      <w:r w:rsidRPr="00871968">
        <w:rPr>
          <w:sz w:val="24"/>
          <w:szCs w:val="24"/>
        </w:rPr>
        <w:br/>
        <w:t>▪ Funding between</w:t>
      </w:r>
      <w:r w:rsidR="00415407">
        <w:rPr>
          <w:sz w:val="24"/>
          <w:szCs w:val="24"/>
        </w:rPr>
        <w:t xml:space="preserve"> </w:t>
      </w:r>
      <w:r w:rsidR="005B0CFD" w:rsidRPr="00871968">
        <w:rPr>
          <w:sz w:val="24"/>
          <w:szCs w:val="24"/>
        </w:rPr>
        <w:t xml:space="preserve">EUR </w:t>
      </w:r>
      <w:r w:rsidR="005B0CFD">
        <w:rPr>
          <w:sz w:val="24"/>
          <w:szCs w:val="24"/>
        </w:rPr>
        <w:t>2</w:t>
      </w:r>
      <w:r w:rsidR="005B0CFD" w:rsidRPr="00871968">
        <w:rPr>
          <w:sz w:val="24"/>
          <w:szCs w:val="24"/>
        </w:rPr>
        <w:t xml:space="preserve">00.000 and EUR </w:t>
      </w:r>
      <w:r w:rsidR="005B0CFD">
        <w:rPr>
          <w:sz w:val="24"/>
          <w:szCs w:val="24"/>
        </w:rPr>
        <w:t>4</w:t>
      </w:r>
      <w:r w:rsidR="005B0CFD" w:rsidRPr="00871968">
        <w:rPr>
          <w:sz w:val="24"/>
          <w:szCs w:val="24"/>
        </w:rPr>
        <w:t>00.000 per project</w:t>
      </w:r>
      <w:r w:rsidR="005B0CFD" w:rsidRPr="005B0CFD">
        <w:rPr>
          <w:sz w:val="24"/>
          <w:szCs w:val="24"/>
        </w:rPr>
        <w:t xml:space="preserve"> </w:t>
      </w:r>
      <w:r w:rsidR="005B0CFD">
        <w:rPr>
          <w:sz w:val="24"/>
          <w:szCs w:val="24"/>
        </w:rPr>
        <w:br/>
      </w:r>
      <w:r w:rsidRPr="00871968">
        <w:rPr>
          <w:sz w:val="24"/>
          <w:szCs w:val="24"/>
        </w:rPr>
        <w:t xml:space="preserve">▪ at least 2 EU Member States or third countries associated to the </w:t>
      </w:r>
      <w:proofErr w:type="spellStart"/>
      <w:r w:rsidRPr="00871968">
        <w:rPr>
          <w:sz w:val="24"/>
          <w:szCs w:val="24"/>
        </w:rPr>
        <w:t>Programme</w:t>
      </w:r>
      <w:proofErr w:type="spellEnd"/>
      <w:r w:rsidRPr="00871968">
        <w:rPr>
          <w:sz w:val="24"/>
          <w:szCs w:val="24"/>
        </w:rPr>
        <w:br/>
        <w:t>each of these (minimum 2 participating) countries must involve at least 1 HEI</w:t>
      </w:r>
      <w:r w:rsidRPr="00871968">
        <w:rPr>
          <w:sz w:val="24"/>
          <w:szCs w:val="24"/>
        </w:rPr>
        <w:br/>
        <w:t xml:space="preserve">▪ </w:t>
      </w:r>
      <w:r w:rsidRPr="00871968">
        <w:rPr>
          <w:spacing w:val="-6"/>
          <w:sz w:val="24"/>
          <w:szCs w:val="24"/>
        </w:rPr>
        <w:t xml:space="preserve">only 1 eligible third country not associated to the </w:t>
      </w:r>
      <w:proofErr w:type="spellStart"/>
      <w:r w:rsidRPr="00871968">
        <w:rPr>
          <w:spacing w:val="-6"/>
          <w:sz w:val="24"/>
          <w:szCs w:val="24"/>
        </w:rPr>
        <w:t>Programme</w:t>
      </w:r>
      <w:proofErr w:type="spellEnd"/>
      <w:r w:rsidRPr="00871968">
        <w:rPr>
          <w:spacing w:val="-6"/>
          <w:sz w:val="24"/>
          <w:szCs w:val="24"/>
        </w:rPr>
        <w:t xml:space="preserve"> involving at least 2 HEIs</w:t>
      </w:r>
    </w:p>
    <w:p w14:paraId="7662C4D1"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2: Partnerships for transformation in higher education</w:t>
      </w:r>
    </w:p>
    <w:p w14:paraId="46256B28" w14:textId="09920DE4" w:rsidR="00B31C0D" w:rsidRPr="00871968" w:rsidRDefault="00B31C0D" w:rsidP="00B31C0D">
      <w:pPr>
        <w:spacing w:line="276" w:lineRule="auto"/>
        <w:ind w:left="1800"/>
        <w:rPr>
          <w:sz w:val="24"/>
          <w:szCs w:val="24"/>
        </w:rPr>
      </w:pPr>
      <w:r w:rsidRPr="00871968">
        <w:rPr>
          <w:sz w:val="24"/>
          <w:szCs w:val="24"/>
        </w:rPr>
        <w:t>▪ Projects can last 24 or 36 months</w:t>
      </w:r>
      <w:r w:rsidRPr="00871968">
        <w:rPr>
          <w:sz w:val="24"/>
          <w:szCs w:val="24"/>
        </w:rPr>
        <w:br/>
        <w:t>▪ Funding between EUR 400.000 and EUR 800.000 per project</w:t>
      </w:r>
      <w:r w:rsidRPr="00871968">
        <w:rPr>
          <w:sz w:val="24"/>
          <w:szCs w:val="24"/>
        </w:rPr>
        <w:br/>
        <w:t xml:space="preserve">▪ at least 2 EU Member States or third countries associated to the </w:t>
      </w:r>
      <w:proofErr w:type="spellStart"/>
      <w:r w:rsidRPr="00871968">
        <w:rPr>
          <w:sz w:val="24"/>
          <w:szCs w:val="24"/>
        </w:rPr>
        <w:t>Programme</w:t>
      </w:r>
      <w:proofErr w:type="spellEnd"/>
      <w:r w:rsidRPr="00871968">
        <w:rPr>
          <w:sz w:val="24"/>
          <w:szCs w:val="24"/>
        </w:rPr>
        <w:br/>
        <w:t>each of these (minimum 2 participating) countries must involve at least 1 HEI</w:t>
      </w:r>
      <w:r w:rsidRPr="00871968">
        <w:rPr>
          <w:sz w:val="24"/>
          <w:szCs w:val="24"/>
        </w:rPr>
        <w:br/>
        <w:t xml:space="preserve">▪ </w:t>
      </w:r>
      <w:r w:rsidRPr="00871968">
        <w:rPr>
          <w:spacing w:val="-6"/>
          <w:sz w:val="24"/>
          <w:szCs w:val="24"/>
        </w:rPr>
        <w:t xml:space="preserve">only 1 eligible third country not associated to the </w:t>
      </w:r>
      <w:proofErr w:type="spellStart"/>
      <w:r w:rsidRPr="00871968">
        <w:rPr>
          <w:spacing w:val="-6"/>
          <w:sz w:val="24"/>
          <w:szCs w:val="24"/>
        </w:rPr>
        <w:t>Programme</w:t>
      </w:r>
      <w:proofErr w:type="spellEnd"/>
      <w:r w:rsidRPr="00871968">
        <w:rPr>
          <w:spacing w:val="-6"/>
          <w:sz w:val="24"/>
          <w:szCs w:val="24"/>
        </w:rPr>
        <w:t xml:space="preserve"> involving at least 2 HEIs</w:t>
      </w:r>
    </w:p>
    <w:p w14:paraId="248CB739"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3: Partnerships for transformation in higher education</w:t>
      </w:r>
    </w:p>
    <w:p w14:paraId="455DC971" w14:textId="77777777" w:rsidR="00B31C0D" w:rsidRPr="00871968" w:rsidRDefault="00B31C0D" w:rsidP="00B31C0D">
      <w:pPr>
        <w:spacing w:after="0" w:line="276" w:lineRule="auto"/>
        <w:ind w:left="1800"/>
        <w:rPr>
          <w:sz w:val="24"/>
          <w:szCs w:val="24"/>
        </w:rPr>
      </w:pPr>
      <w:r w:rsidRPr="00871968">
        <w:rPr>
          <w:sz w:val="24"/>
          <w:szCs w:val="24"/>
        </w:rPr>
        <w:t>▪ Projects can last 36 or 48 months</w:t>
      </w:r>
      <w:r w:rsidRPr="00871968">
        <w:rPr>
          <w:sz w:val="24"/>
          <w:szCs w:val="24"/>
        </w:rPr>
        <w:br/>
        <w:t>▪ Funding between EUR 600.000 and EUR 1.000.000 per project</w:t>
      </w:r>
    </w:p>
    <w:p w14:paraId="029056E8" w14:textId="2CFC0198" w:rsidR="00B31C0D" w:rsidRPr="00871968" w:rsidRDefault="00B31C0D" w:rsidP="008A6080">
      <w:pPr>
        <w:spacing w:line="276" w:lineRule="auto"/>
        <w:ind w:left="1800"/>
        <w:rPr>
          <w:sz w:val="24"/>
          <w:szCs w:val="24"/>
        </w:rPr>
      </w:pPr>
      <w:r w:rsidRPr="00871968">
        <w:rPr>
          <w:sz w:val="24"/>
          <w:szCs w:val="24"/>
        </w:rPr>
        <w:t>▪ Involvement of the Ministry</w:t>
      </w:r>
      <w:r w:rsidR="0084199B" w:rsidRPr="00871968">
        <w:rPr>
          <w:sz w:val="24"/>
          <w:szCs w:val="24"/>
        </w:rPr>
        <w:br/>
        <w:t xml:space="preserve">▪ at least 2 EU Member States or third countries associated to the </w:t>
      </w:r>
      <w:proofErr w:type="spellStart"/>
      <w:r w:rsidR="0084199B" w:rsidRPr="00871968">
        <w:rPr>
          <w:sz w:val="24"/>
          <w:szCs w:val="24"/>
        </w:rPr>
        <w:t>Programme</w:t>
      </w:r>
      <w:proofErr w:type="spellEnd"/>
      <w:r w:rsidR="0084199B" w:rsidRPr="00871968">
        <w:rPr>
          <w:sz w:val="24"/>
          <w:szCs w:val="24"/>
        </w:rPr>
        <w:br/>
        <w:t>each of these (minimum 2 participating) countries must involve at least 1 HEI</w:t>
      </w:r>
      <w:r w:rsidRPr="00871968">
        <w:rPr>
          <w:sz w:val="24"/>
          <w:szCs w:val="24"/>
        </w:rPr>
        <w:br/>
      </w:r>
      <w:r w:rsidR="0084199B" w:rsidRPr="00871968">
        <w:rPr>
          <w:sz w:val="24"/>
          <w:szCs w:val="24"/>
        </w:rPr>
        <w:t xml:space="preserve">▪ </w:t>
      </w:r>
      <w:r w:rsidR="008A6080" w:rsidRPr="00871968">
        <w:rPr>
          <w:sz w:val="24"/>
          <w:szCs w:val="24"/>
        </w:rPr>
        <w:t xml:space="preserve">at least 1 eligible third country not associated to the </w:t>
      </w:r>
      <w:proofErr w:type="spellStart"/>
      <w:r w:rsidR="008A6080" w:rsidRPr="00871968">
        <w:rPr>
          <w:sz w:val="24"/>
          <w:szCs w:val="24"/>
        </w:rPr>
        <w:t>Programme</w:t>
      </w:r>
      <w:proofErr w:type="spellEnd"/>
      <w:r w:rsidR="008A6080" w:rsidRPr="00871968">
        <w:rPr>
          <w:sz w:val="24"/>
          <w:szCs w:val="24"/>
        </w:rPr>
        <w:t xml:space="preserve">; </w:t>
      </w:r>
      <w:r w:rsidR="008A6080" w:rsidRPr="00871968">
        <w:rPr>
          <w:sz w:val="24"/>
          <w:szCs w:val="24"/>
        </w:rPr>
        <w:br/>
        <w:t>each participating country must involve at least 2 HEIs312 and the national competent authority (e.g. Ministry) responsible for higher education in the country.</w:t>
      </w:r>
    </w:p>
    <w:p w14:paraId="785AECF9" w14:textId="157886C1" w:rsidR="0010147F" w:rsidRPr="00871968" w:rsidRDefault="000A26AB" w:rsidP="000A26AB">
      <w:pPr>
        <w:pStyle w:val="ListParagraph"/>
        <w:numPr>
          <w:ilvl w:val="0"/>
          <w:numId w:val="2"/>
        </w:numPr>
        <w:spacing w:after="0" w:line="276" w:lineRule="auto"/>
        <w:rPr>
          <w:b/>
          <w:bCs/>
          <w:sz w:val="24"/>
          <w:szCs w:val="24"/>
        </w:rPr>
      </w:pPr>
      <w:r w:rsidRPr="00871968">
        <w:rPr>
          <w:b/>
          <w:bCs/>
          <w:sz w:val="24"/>
          <w:szCs w:val="24"/>
        </w:rPr>
        <w:t>Multi-country regional projects</w:t>
      </w:r>
    </w:p>
    <w:p w14:paraId="7FF9A056"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1: Fostering access to cooperation in higher education</w:t>
      </w:r>
    </w:p>
    <w:p w14:paraId="2689047F" w14:textId="18103ED3" w:rsidR="00B31C0D" w:rsidRPr="00871968" w:rsidRDefault="00B31C0D" w:rsidP="0084199B">
      <w:pPr>
        <w:spacing w:line="276" w:lineRule="auto"/>
        <w:ind w:left="1800"/>
        <w:rPr>
          <w:sz w:val="24"/>
          <w:szCs w:val="24"/>
        </w:rPr>
      </w:pPr>
      <w:r w:rsidRPr="00871968">
        <w:rPr>
          <w:sz w:val="24"/>
          <w:szCs w:val="24"/>
        </w:rPr>
        <w:t>▪ Projects can last 24 or 36 months</w:t>
      </w:r>
      <w:r w:rsidRPr="00871968">
        <w:rPr>
          <w:sz w:val="24"/>
          <w:szCs w:val="24"/>
        </w:rPr>
        <w:br/>
        <w:t>▪ Funding between</w:t>
      </w:r>
      <w:r w:rsidR="005B0CFD">
        <w:rPr>
          <w:sz w:val="24"/>
          <w:szCs w:val="24"/>
        </w:rPr>
        <w:t xml:space="preserve"> </w:t>
      </w:r>
      <w:r w:rsidR="005B0CFD" w:rsidRPr="00871968">
        <w:rPr>
          <w:sz w:val="24"/>
          <w:szCs w:val="24"/>
        </w:rPr>
        <w:t xml:space="preserve">EUR </w:t>
      </w:r>
      <w:r w:rsidR="005B0CFD">
        <w:rPr>
          <w:sz w:val="24"/>
          <w:szCs w:val="24"/>
        </w:rPr>
        <w:t>2</w:t>
      </w:r>
      <w:r w:rsidR="005B0CFD" w:rsidRPr="00871968">
        <w:rPr>
          <w:sz w:val="24"/>
          <w:szCs w:val="24"/>
        </w:rPr>
        <w:t xml:space="preserve">00.000 and EUR </w:t>
      </w:r>
      <w:r w:rsidR="005B0CFD">
        <w:rPr>
          <w:sz w:val="24"/>
          <w:szCs w:val="24"/>
        </w:rPr>
        <w:t>4</w:t>
      </w:r>
      <w:r w:rsidR="005B0CFD" w:rsidRPr="00871968">
        <w:rPr>
          <w:sz w:val="24"/>
          <w:szCs w:val="24"/>
        </w:rPr>
        <w:t>00.000 per project</w:t>
      </w:r>
      <w:r w:rsidR="0084199B" w:rsidRPr="00871968">
        <w:rPr>
          <w:sz w:val="24"/>
          <w:szCs w:val="24"/>
        </w:rPr>
        <w:br/>
        <w:t xml:space="preserve">▪ at least 2 EU Member States or third countries associated to the </w:t>
      </w:r>
      <w:proofErr w:type="spellStart"/>
      <w:r w:rsidR="0084199B" w:rsidRPr="00871968">
        <w:rPr>
          <w:sz w:val="24"/>
          <w:szCs w:val="24"/>
        </w:rPr>
        <w:t>Programme</w:t>
      </w:r>
      <w:proofErr w:type="spellEnd"/>
      <w:r w:rsidR="0084199B" w:rsidRPr="00871968">
        <w:rPr>
          <w:sz w:val="24"/>
          <w:szCs w:val="24"/>
        </w:rPr>
        <w:br/>
        <w:t>each of these (minimum 2 participating) countries must involve at least 1 HEI</w:t>
      </w:r>
      <w:r w:rsidR="0084199B" w:rsidRPr="00871968">
        <w:rPr>
          <w:sz w:val="24"/>
          <w:szCs w:val="24"/>
        </w:rPr>
        <w:br/>
        <w:t xml:space="preserve">▪ at least 2 eligible third countries not associated to the </w:t>
      </w:r>
      <w:proofErr w:type="spellStart"/>
      <w:r w:rsidR="0084199B" w:rsidRPr="00871968">
        <w:rPr>
          <w:sz w:val="24"/>
          <w:szCs w:val="24"/>
        </w:rPr>
        <w:t>Programme</w:t>
      </w:r>
      <w:proofErr w:type="spellEnd"/>
      <w:r w:rsidR="0084199B" w:rsidRPr="00871968">
        <w:rPr>
          <w:sz w:val="24"/>
          <w:szCs w:val="24"/>
        </w:rPr>
        <w:br/>
        <w:t>each of these (minimum 2 participating) countries must involve at least 2 HEIs</w:t>
      </w:r>
    </w:p>
    <w:p w14:paraId="717E3C59"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lastRenderedPageBreak/>
        <w:t>Strand 2: Partnerships for transformation in higher education</w:t>
      </w:r>
    </w:p>
    <w:p w14:paraId="12DE15BA" w14:textId="22EBDD81" w:rsidR="00B31C0D" w:rsidRPr="00871968" w:rsidRDefault="00B31C0D" w:rsidP="00B31C0D">
      <w:pPr>
        <w:spacing w:line="276" w:lineRule="auto"/>
        <w:ind w:left="1800"/>
        <w:rPr>
          <w:sz w:val="24"/>
          <w:szCs w:val="24"/>
        </w:rPr>
      </w:pPr>
      <w:r w:rsidRPr="00871968">
        <w:rPr>
          <w:sz w:val="24"/>
          <w:szCs w:val="24"/>
        </w:rPr>
        <w:t>▪ Projects can last 24 or 36 months</w:t>
      </w:r>
      <w:r w:rsidRPr="00871968">
        <w:rPr>
          <w:sz w:val="24"/>
          <w:szCs w:val="24"/>
        </w:rPr>
        <w:br/>
        <w:t>▪ Funding between EUR 400.000 and EUR 800.000 per project</w:t>
      </w:r>
      <w:r w:rsidR="0084199B" w:rsidRPr="00871968">
        <w:rPr>
          <w:sz w:val="24"/>
          <w:szCs w:val="24"/>
        </w:rPr>
        <w:br/>
        <w:t xml:space="preserve">▪ at least 2 EU Member States or third countries associated to the </w:t>
      </w:r>
      <w:proofErr w:type="spellStart"/>
      <w:r w:rsidR="0084199B" w:rsidRPr="00871968">
        <w:rPr>
          <w:sz w:val="24"/>
          <w:szCs w:val="24"/>
        </w:rPr>
        <w:t>Programme</w:t>
      </w:r>
      <w:proofErr w:type="spellEnd"/>
      <w:r w:rsidR="0084199B" w:rsidRPr="00871968">
        <w:rPr>
          <w:sz w:val="24"/>
          <w:szCs w:val="24"/>
        </w:rPr>
        <w:br/>
        <w:t>each of these (minimum 2 participating) countries must involve at least 1 HEI</w:t>
      </w:r>
      <w:r w:rsidR="0084199B" w:rsidRPr="00871968">
        <w:rPr>
          <w:sz w:val="24"/>
          <w:szCs w:val="24"/>
        </w:rPr>
        <w:br/>
        <w:t xml:space="preserve">▪ at least 2 eligible third countries not associated to the </w:t>
      </w:r>
      <w:proofErr w:type="spellStart"/>
      <w:r w:rsidR="0084199B" w:rsidRPr="00871968">
        <w:rPr>
          <w:sz w:val="24"/>
          <w:szCs w:val="24"/>
        </w:rPr>
        <w:t>Programme</w:t>
      </w:r>
      <w:proofErr w:type="spellEnd"/>
      <w:r w:rsidR="0084199B" w:rsidRPr="00871968">
        <w:rPr>
          <w:sz w:val="24"/>
          <w:szCs w:val="24"/>
        </w:rPr>
        <w:br/>
        <w:t>each of these (minimum 2 participating) countries must involve at least 2 HEIs</w:t>
      </w:r>
    </w:p>
    <w:p w14:paraId="6CF4298E"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3: Partnerships for transformation in higher education</w:t>
      </w:r>
    </w:p>
    <w:p w14:paraId="6DEB1422" w14:textId="77777777" w:rsidR="00B31C0D" w:rsidRPr="00871968" w:rsidRDefault="00B31C0D" w:rsidP="00B31C0D">
      <w:pPr>
        <w:spacing w:after="0" w:line="276" w:lineRule="auto"/>
        <w:ind w:left="1800"/>
        <w:rPr>
          <w:sz w:val="24"/>
          <w:szCs w:val="24"/>
        </w:rPr>
      </w:pPr>
      <w:r w:rsidRPr="00871968">
        <w:rPr>
          <w:sz w:val="24"/>
          <w:szCs w:val="24"/>
        </w:rPr>
        <w:t>▪ Projects can last 36 or 48 months</w:t>
      </w:r>
      <w:r w:rsidRPr="00871968">
        <w:rPr>
          <w:sz w:val="24"/>
          <w:szCs w:val="24"/>
        </w:rPr>
        <w:br/>
        <w:t>▪ Funding between EUR 600.000 and EUR 1.000.000 per project</w:t>
      </w:r>
    </w:p>
    <w:p w14:paraId="599D3B52" w14:textId="37DE587D" w:rsidR="00B31C0D" w:rsidRPr="00871968" w:rsidRDefault="00B31C0D" w:rsidP="00960C60">
      <w:pPr>
        <w:spacing w:line="276" w:lineRule="auto"/>
        <w:ind w:left="1800"/>
        <w:rPr>
          <w:sz w:val="24"/>
          <w:szCs w:val="24"/>
        </w:rPr>
      </w:pPr>
      <w:r w:rsidRPr="00871968">
        <w:rPr>
          <w:sz w:val="24"/>
          <w:szCs w:val="24"/>
        </w:rPr>
        <w:t>▪ Involvement of the Ministry</w:t>
      </w:r>
      <w:r w:rsidR="00960C60" w:rsidRPr="00871968">
        <w:rPr>
          <w:sz w:val="24"/>
          <w:szCs w:val="24"/>
        </w:rPr>
        <w:br/>
        <w:t xml:space="preserve">▪ at least 2 EU Member States or third countries associated to the </w:t>
      </w:r>
      <w:proofErr w:type="spellStart"/>
      <w:r w:rsidR="00960C60" w:rsidRPr="00871968">
        <w:rPr>
          <w:sz w:val="24"/>
          <w:szCs w:val="24"/>
        </w:rPr>
        <w:t>Programme</w:t>
      </w:r>
      <w:proofErr w:type="spellEnd"/>
      <w:r w:rsidR="00960C60" w:rsidRPr="00871968">
        <w:rPr>
          <w:sz w:val="24"/>
          <w:szCs w:val="24"/>
        </w:rPr>
        <w:br/>
        <w:t>each of these (minimum 2 participating) countries must involve at least 1 HEI</w:t>
      </w:r>
      <w:r w:rsidR="00960C60" w:rsidRPr="00871968">
        <w:rPr>
          <w:sz w:val="24"/>
          <w:szCs w:val="24"/>
        </w:rPr>
        <w:br/>
        <w:t xml:space="preserve">▪ at least 2 eligible third countries not associated to the </w:t>
      </w:r>
      <w:proofErr w:type="spellStart"/>
      <w:r w:rsidR="00960C60" w:rsidRPr="00871968">
        <w:rPr>
          <w:sz w:val="24"/>
          <w:szCs w:val="24"/>
        </w:rPr>
        <w:t>Programme</w:t>
      </w:r>
      <w:proofErr w:type="spellEnd"/>
      <w:r w:rsidR="00960C60" w:rsidRPr="00871968">
        <w:rPr>
          <w:sz w:val="24"/>
          <w:szCs w:val="24"/>
        </w:rPr>
        <w:br/>
        <w:t xml:space="preserve">each participating eligible third country not associated to the </w:t>
      </w:r>
      <w:proofErr w:type="spellStart"/>
      <w:r w:rsidR="00960C60" w:rsidRPr="00871968">
        <w:rPr>
          <w:sz w:val="24"/>
          <w:szCs w:val="24"/>
        </w:rPr>
        <w:t>Programme</w:t>
      </w:r>
      <w:proofErr w:type="spellEnd"/>
      <w:r w:rsidR="00960C60" w:rsidRPr="00871968">
        <w:rPr>
          <w:sz w:val="24"/>
          <w:szCs w:val="24"/>
        </w:rPr>
        <w:t xml:space="preserve"> must involve: at least 2 HEIs and national competent authority (</w:t>
      </w:r>
      <w:proofErr w:type="spellStart"/>
      <w:r w:rsidR="00960C60" w:rsidRPr="00871968">
        <w:rPr>
          <w:sz w:val="24"/>
          <w:szCs w:val="24"/>
        </w:rPr>
        <w:t>e.g</w:t>
      </w:r>
      <w:proofErr w:type="spellEnd"/>
      <w:r w:rsidR="00960C60" w:rsidRPr="00871968">
        <w:rPr>
          <w:sz w:val="24"/>
          <w:szCs w:val="24"/>
        </w:rPr>
        <w:t xml:space="preserve"> Ministry) responsible for higher education</w:t>
      </w:r>
    </w:p>
    <w:p w14:paraId="26265594" w14:textId="0D38644D" w:rsidR="0010147F" w:rsidRPr="00871968" w:rsidRDefault="000A26AB" w:rsidP="000A26AB">
      <w:pPr>
        <w:pStyle w:val="ListParagraph"/>
        <w:numPr>
          <w:ilvl w:val="0"/>
          <w:numId w:val="2"/>
        </w:numPr>
        <w:spacing w:after="0" w:line="276" w:lineRule="auto"/>
        <w:rPr>
          <w:b/>
          <w:bCs/>
          <w:sz w:val="24"/>
          <w:szCs w:val="24"/>
        </w:rPr>
      </w:pPr>
      <w:r w:rsidRPr="00871968">
        <w:rPr>
          <w:b/>
          <w:bCs/>
          <w:sz w:val="24"/>
          <w:szCs w:val="24"/>
        </w:rPr>
        <w:t>Multi-country cross-regional projects</w:t>
      </w:r>
    </w:p>
    <w:p w14:paraId="0F2D68E3" w14:textId="7BF8507D"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1: Fostering access to cooperation in higher education</w:t>
      </w:r>
    </w:p>
    <w:p w14:paraId="5C1D93B8" w14:textId="33EC6F81" w:rsidR="00B31C0D" w:rsidRPr="00871968" w:rsidRDefault="00B31C0D" w:rsidP="00B31C0D">
      <w:pPr>
        <w:spacing w:line="276" w:lineRule="auto"/>
        <w:ind w:left="1800"/>
        <w:rPr>
          <w:sz w:val="24"/>
          <w:szCs w:val="24"/>
        </w:rPr>
      </w:pPr>
      <w:r w:rsidRPr="00871968">
        <w:rPr>
          <w:sz w:val="24"/>
          <w:szCs w:val="24"/>
        </w:rPr>
        <w:t>▪ Projects can last 24 or 36 months</w:t>
      </w:r>
      <w:r w:rsidRPr="00871968">
        <w:rPr>
          <w:sz w:val="24"/>
          <w:szCs w:val="24"/>
        </w:rPr>
        <w:br/>
        <w:t>▪ Funding between</w:t>
      </w:r>
      <w:r w:rsidR="00415407">
        <w:rPr>
          <w:sz w:val="24"/>
          <w:szCs w:val="24"/>
        </w:rPr>
        <w:t xml:space="preserve"> </w:t>
      </w:r>
      <w:r w:rsidR="005B0CFD" w:rsidRPr="00871968">
        <w:rPr>
          <w:sz w:val="24"/>
          <w:szCs w:val="24"/>
        </w:rPr>
        <w:t xml:space="preserve">EUR </w:t>
      </w:r>
      <w:r w:rsidR="005B0CFD">
        <w:rPr>
          <w:sz w:val="24"/>
          <w:szCs w:val="24"/>
        </w:rPr>
        <w:t>2</w:t>
      </w:r>
      <w:r w:rsidR="005B0CFD" w:rsidRPr="00871968">
        <w:rPr>
          <w:sz w:val="24"/>
          <w:szCs w:val="24"/>
        </w:rPr>
        <w:t xml:space="preserve">00.000 and EUR </w:t>
      </w:r>
      <w:r w:rsidR="005B0CFD">
        <w:rPr>
          <w:sz w:val="24"/>
          <w:szCs w:val="24"/>
        </w:rPr>
        <w:t>4</w:t>
      </w:r>
      <w:r w:rsidR="005B0CFD" w:rsidRPr="00871968">
        <w:rPr>
          <w:sz w:val="24"/>
          <w:szCs w:val="24"/>
        </w:rPr>
        <w:t>00.000 per project</w:t>
      </w:r>
      <w:r w:rsidR="00960C60" w:rsidRPr="00871968">
        <w:rPr>
          <w:sz w:val="24"/>
          <w:szCs w:val="24"/>
        </w:rPr>
        <w:br/>
        <w:t xml:space="preserve">▪ at least 2 EU Member States or third countries associated to the </w:t>
      </w:r>
      <w:proofErr w:type="spellStart"/>
      <w:r w:rsidR="00960C60" w:rsidRPr="00871968">
        <w:rPr>
          <w:sz w:val="24"/>
          <w:szCs w:val="24"/>
        </w:rPr>
        <w:t>Programme</w:t>
      </w:r>
      <w:proofErr w:type="spellEnd"/>
      <w:r w:rsidR="00960C60" w:rsidRPr="00871968">
        <w:rPr>
          <w:sz w:val="24"/>
          <w:szCs w:val="24"/>
        </w:rPr>
        <w:br/>
        <w:t>each of these (minimum 2 participating) countries must involve at least 1 HEI</w:t>
      </w:r>
      <w:r w:rsidR="00960C60" w:rsidRPr="00871968">
        <w:rPr>
          <w:sz w:val="24"/>
          <w:szCs w:val="24"/>
        </w:rPr>
        <w:br/>
        <w:t xml:space="preserve">▪ at least 2 eligible third countries not associated to the </w:t>
      </w:r>
      <w:proofErr w:type="spellStart"/>
      <w:r w:rsidR="00960C60" w:rsidRPr="00871968">
        <w:rPr>
          <w:sz w:val="24"/>
          <w:szCs w:val="24"/>
        </w:rPr>
        <w:t>Programme</w:t>
      </w:r>
      <w:proofErr w:type="spellEnd"/>
      <w:r w:rsidR="00960C60" w:rsidRPr="00871968">
        <w:rPr>
          <w:sz w:val="24"/>
          <w:szCs w:val="24"/>
        </w:rPr>
        <w:br/>
        <w:t>each of these (minimum 2 participating) countries must involve at least 2 HEIs</w:t>
      </w:r>
    </w:p>
    <w:p w14:paraId="75B8F014"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2: Partnerships for transformation in higher education</w:t>
      </w:r>
    </w:p>
    <w:p w14:paraId="52DF213B" w14:textId="1E5321C8" w:rsidR="00B31C0D" w:rsidRPr="00871968" w:rsidRDefault="00B31C0D" w:rsidP="00B31C0D">
      <w:pPr>
        <w:spacing w:line="276" w:lineRule="auto"/>
        <w:ind w:left="1800"/>
        <w:rPr>
          <w:sz w:val="24"/>
          <w:szCs w:val="24"/>
        </w:rPr>
      </w:pPr>
      <w:r w:rsidRPr="00871968">
        <w:rPr>
          <w:sz w:val="24"/>
          <w:szCs w:val="24"/>
        </w:rPr>
        <w:t>▪ Projects can last 24 or 36 months</w:t>
      </w:r>
      <w:r w:rsidRPr="00871968">
        <w:rPr>
          <w:sz w:val="24"/>
          <w:szCs w:val="24"/>
        </w:rPr>
        <w:br/>
        <w:t>▪ Funding between EUR 400.000 and EUR 800.000 per project</w:t>
      </w:r>
      <w:r w:rsidR="00960C60" w:rsidRPr="00871968">
        <w:rPr>
          <w:sz w:val="24"/>
          <w:szCs w:val="24"/>
        </w:rPr>
        <w:br/>
        <w:t xml:space="preserve">▪ at least 2 EU Member States or third countries associated to the </w:t>
      </w:r>
      <w:proofErr w:type="spellStart"/>
      <w:r w:rsidR="00960C60" w:rsidRPr="00871968">
        <w:rPr>
          <w:sz w:val="24"/>
          <w:szCs w:val="24"/>
        </w:rPr>
        <w:t>Programme</w:t>
      </w:r>
      <w:proofErr w:type="spellEnd"/>
      <w:r w:rsidR="00960C60" w:rsidRPr="00871968">
        <w:rPr>
          <w:sz w:val="24"/>
          <w:szCs w:val="24"/>
        </w:rPr>
        <w:br/>
        <w:t>each of these (minimum 2 participating) countries must involve at least 1 HEI</w:t>
      </w:r>
      <w:r w:rsidR="00960C60" w:rsidRPr="00871968">
        <w:rPr>
          <w:sz w:val="24"/>
          <w:szCs w:val="24"/>
        </w:rPr>
        <w:br/>
        <w:t xml:space="preserve">▪ at least 2 eligible third countries not associated to the </w:t>
      </w:r>
      <w:proofErr w:type="spellStart"/>
      <w:r w:rsidR="00960C60" w:rsidRPr="00871968">
        <w:rPr>
          <w:sz w:val="24"/>
          <w:szCs w:val="24"/>
        </w:rPr>
        <w:t>Programme</w:t>
      </w:r>
      <w:proofErr w:type="spellEnd"/>
      <w:r w:rsidR="00960C60" w:rsidRPr="00871968">
        <w:rPr>
          <w:sz w:val="24"/>
          <w:szCs w:val="24"/>
        </w:rPr>
        <w:br/>
        <w:t>each of these (minimum 2 participating) countries must involve at least 2 HEIs</w:t>
      </w:r>
    </w:p>
    <w:p w14:paraId="550AB8E9" w14:textId="77777777" w:rsidR="00B31C0D" w:rsidRPr="00871968" w:rsidRDefault="00B31C0D" w:rsidP="00B31C0D">
      <w:pPr>
        <w:pStyle w:val="ListParagraph"/>
        <w:numPr>
          <w:ilvl w:val="1"/>
          <w:numId w:val="2"/>
        </w:numPr>
        <w:spacing w:after="0" w:line="276" w:lineRule="auto"/>
        <w:rPr>
          <w:b/>
          <w:bCs/>
          <w:sz w:val="24"/>
          <w:szCs w:val="24"/>
        </w:rPr>
      </w:pPr>
      <w:r w:rsidRPr="00871968">
        <w:rPr>
          <w:b/>
          <w:bCs/>
          <w:sz w:val="24"/>
          <w:szCs w:val="24"/>
        </w:rPr>
        <w:t>Strand 3: Partnerships for transformation in higher education</w:t>
      </w:r>
    </w:p>
    <w:p w14:paraId="1764B2BD" w14:textId="77777777" w:rsidR="00B31C0D" w:rsidRPr="00871968" w:rsidRDefault="00B31C0D" w:rsidP="00B31C0D">
      <w:pPr>
        <w:spacing w:after="0" w:line="276" w:lineRule="auto"/>
        <w:ind w:left="1800"/>
        <w:rPr>
          <w:sz w:val="24"/>
          <w:szCs w:val="24"/>
        </w:rPr>
      </w:pPr>
      <w:r w:rsidRPr="00871968">
        <w:rPr>
          <w:sz w:val="24"/>
          <w:szCs w:val="24"/>
        </w:rPr>
        <w:t>▪ Projects can last 36 or 48 months</w:t>
      </w:r>
      <w:r w:rsidRPr="00871968">
        <w:rPr>
          <w:sz w:val="24"/>
          <w:szCs w:val="24"/>
        </w:rPr>
        <w:br/>
        <w:t>▪ Funding between EUR 600.000 and EUR 1.000.000 per project</w:t>
      </w:r>
    </w:p>
    <w:p w14:paraId="2B102E35" w14:textId="1A4EA417" w:rsidR="008A6080" w:rsidRPr="00871968" w:rsidRDefault="00B31C0D" w:rsidP="00871968">
      <w:pPr>
        <w:spacing w:line="276" w:lineRule="auto"/>
        <w:ind w:left="1800"/>
        <w:rPr>
          <w:sz w:val="24"/>
          <w:szCs w:val="24"/>
        </w:rPr>
      </w:pPr>
      <w:r w:rsidRPr="00871968">
        <w:rPr>
          <w:sz w:val="24"/>
          <w:szCs w:val="24"/>
        </w:rPr>
        <w:t>▪ Involvement of the Ministry</w:t>
      </w:r>
      <w:r w:rsidR="008A6080" w:rsidRPr="00871968">
        <w:rPr>
          <w:sz w:val="24"/>
          <w:szCs w:val="24"/>
        </w:rPr>
        <w:br/>
        <w:t xml:space="preserve">▪ at least 2 EU Member States or third countries associated to the </w:t>
      </w:r>
      <w:proofErr w:type="spellStart"/>
      <w:r w:rsidR="008A6080" w:rsidRPr="00871968">
        <w:rPr>
          <w:sz w:val="24"/>
          <w:szCs w:val="24"/>
        </w:rPr>
        <w:t>Programme</w:t>
      </w:r>
      <w:proofErr w:type="spellEnd"/>
      <w:r w:rsidR="008A6080" w:rsidRPr="00871968">
        <w:rPr>
          <w:sz w:val="24"/>
          <w:szCs w:val="24"/>
        </w:rPr>
        <w:br/>
      </w:r>
      <w:r w:rsidR="008A6080" w:rsidRPr="00871968">
        <w:rPr>
          <w:sz w:val="24"/>
          <w:szCs w:val="24"/>
        </w:rPr>
        <w:lastRenderedPageBreak/>
        <w:t>each of these (minimum 2 participating) countries must involve at least 1 HEI</w:t>
      </w:r>
      <w:r w:rsidR="008A6080" w:rsidRPr="00871968">
        <w:rPr>
          <w:sz w:val="24"/>
          <w:szCs w:val="24"/>
        </w:rPr>
        <w:br/>
        <w:t xml:space="preserve">▪ at least 2 eligible third countries not associated to the </w:t>
      </w:r>
      <w:proofErr w:type="spellStart"/>
      <w:r w:rsidR="008A6080" w:rsidRPr="00871968">
        <w:rPr>
          <w:sz w:val="24"/>
          <w:szCs w:val="24"/>
        </w:rPr>
        <w:t>Programme</w:t>
      </w:r>
      <w:proofErr w:type="spellEnd"/>
      <w:r w:rsidR="008A6080" w:rsidRPr="00871968">
        <w:rPr>
          <w:sz w:val="24"/>
          <w:szCs w:val="24"/>
        </w:rPr>
        <w:br/>
        <w:t xml:space="preserve">each participating eligible third country not associated to the </w:t>
      </w:r>
      <w:proofErr w:type="spellStart"/>
      <w:r w:rsidR="008A6080" w:rsidRPr="00871968">
        <w:rPr>
          <w:sz w:val="24"/>
          <w:szCs w:val="24"/>
        </w:rPr>
        <w:t>Programme</w:t>
      </w:r>
      <w:proofErr w:type="spellEnd"/>
      <w:r w:rsidR="008A6080" w:rsidRPr="00871968">
        <w:rPr>
          <w:sz w:val="24"/>
          <w:szCs w:val="24"/>
        </w:rPr>
        <w:t xml:space="preserve"> must involve: at least 2 HEIs and national competent authority (</w:t>
      </w:r>
      <w:proofErr w:type="spellStart"/>
      <w:r w:rsidR="008A6080" w:rsidRPr="00871968">
        <w:rPr>
          <w:sz w:val="24"/>
          <w:szCs w:val="24"/>
        </w:rPr>
        <w:t>e.g</w:t>
      </w:r>
      <w:proofErr w:type="spellEnd"/>
      <w:r w:rsidR="008A6080" w:rsidRPr="00871968">
        <w:rPr>
          <w:sz w:val="24"/>
          <w:szCs w:val="24"/>
        </w:rPr>
        <w:t xml:space="preserve"> Ministry) responsible for higher education</w:t>
      </w:r>
    </w:p>
    <w:p w14:paraId="3F43E090" w14:textId="186D101F" w:rsidR="00402676" w:rsidRPr="00871968" w:rsidRDefault="00402676" w:rsidP="001C790E">
      <w:pPr>
        <w:tabs>
          <w:tab w:val="num" w:pos="720"/>
        </w:tabs>
        <w:spacing w:line="276" w:lineRule="auto"/>
        <w:ind w:left="720" w:hanging="720"/>
        <w:rPr>
          <w:b/>
          <w:bCs/>
          <w:sz w:val="24"/>
          <w:szCs w:val="24"/>
        </w:rPr>
      </w:pPr>
      <w:r w:rsidRPr="00871968">
        <w:rPr>
          <w:b/>
          <w:bCs/>
          <w:sz w:val="24"/>
          <w:szCs w:val="24"/>
        </w:rPr>
        <w:t xml:space="preserve">Choose one of the following </w:t>
      </w:r>
      <w:r w:rsidR="002B0D68" w:rsidRPr="00871968">
        <w:rPr>
          <w:b/>
          <w:bCs/>
          <w:sz w:val="24"/>
          <w:szCs w:val="24"/>
        </w:rPr>
        <w:t>overarching priorities</w:t>
      </w:r>
    </w:p>
    <w:p w14:paraId="19F09C9F" w14:textId="554D2498" w:rsidR="00D1006C" w:rsidRPr="00871968" w:rsidRDefault="00D1006C" w:rsidP="00365C61">
      <w:pPr>
        <w:numPr>
          <w:ilvl w:val="0"/>
          <w:numId w:val="1"/>
        </w:numPr>
        <w:tabs>
          <w:tab w:val="num" w:pos="720"/>
        </w:tabs>
        <w:spacing w:line="276" w:lineRule="auto"/>
        <w:rPr>
          <w:sz w:val="24"/>
          <w:szCs w:val="24"/>
        </w:rPr>
      </w:pPr>
      <w:r w:rsidRPr="00871968">
        <w:rPr>
          <w:b/>
          <w:bCs/>
          <w:sz w:val="24"/>
          <w:szCs w:val="24"/>
        </w:rPr>
        <w:t>Green Deal</w:t>
      </w:r>
      <w:r w:rsidR="00DE1D56" w:rsidRPr="00871968">
        <w:rPr>
          <w:b/>
          <w:bCs/>
          <w:sz w:val="24"/>
          <w:szCs w:val="24"/>
        </w:rPr>
        <w:tab/>
      </w:r>
      <w:r w:rsidRPr="00871968">
        <w:rPr>
          <w:sz w:val="24"/>
          <w:szCs w:val="24"/>
        </w:rPr>
        <w:t> </w:t>
      </w:r>
      <w:r w:rsidR="00DE1D56" w:rsidRPr="00871968">
        <w:rPr>
          <w:sz w:val="24"/>
          <w:szCs w:val="24"/>
        </w:rPr>
        <w:br/>
      </w:r>
      <w:r w:rsidRPr="00871968">
        <w:rPr>
          <w:sz w:val="24"/>
          <w:szCs w:val="24"/>
        </w:rPr>
        <w:t>(stimulate green jobs, climate neutral society, environmental-climate-sustainability awareness, green and circular economy)</w:t>
      </w:r>
    </w:p>
    <w:p w14:paraId="3EB5315D" w14:textId="2A8123F1" w:rsidR="00D1006C" w:rsidRPr="00871968" w:rsidRDefault="00D1006C" w:rsidP="00DE1D56">
      <w:pPr>
        <w:numPr>
          <w:ilvl w:val="0"/>
          <w:numId w:val="1"/>
        </w:numPr>
        <w:tabs>
          <w:tab w:val="num" w:pos="720"/>
        </w:tabs>
        <w:spacing w:line="276" w:lineRule="auto"/>
        <w:jc w:val="thaiDistribute"/>
        <w:rPr>
          <w:sz w:val="24"/>
          <w:szCs w:val="24"/>
        </w:rPr>
      </w:pPr>
      <w:r w:rsidRPr="00871968">
        <w:rPr>
          <w:b/>
          <w:bCs/>
          <w:sz w:val="24"/>
          <w:szCs w:val="24"/>
        </w:rPr>
        <w:t>Digital</w:t>
      </w:r>
      <w:r w:rsidRPr="00871968">
        <w:rPr>
          <w:sz w:val="24"/>
          <w:szCs w:val="24"/>
        </w:rPr>
        <w:t> </w:t>
      </w:r>
      <w:r w:rsidRPr="00871968">
        <w:rPr>
          <w:b/>
          <w:bCs/>
          <w:sz w:val="24"/>
          <w:szCs w:val="24"/>
        </w:rPr>
        <w:t>transformation</w:t>
      </w:r>
      <w:r w:rsidR="00DE1D56" w:rsidRPr="00871968">
        <w:rPr>
          <w:b/>
          <w:bCs/>
          <w:sz w:val="24"/>
          <w:szCs w:val="24"/>
        </w:rPr>
        <w:tab/>
      </w:r>
      <w:r w:rsidRPr="00871968">
        <w:rPr>
          <w:sz w:val="24"/>
          <w:szCs w:val="24"/>
        </w:rPr>
        <w:t> </w:t>
      </w:r>
      <w:r w:rsidR="00DE1D56" w:rsidRPr="00871968">
        <w:rPr>
          <w:sz w:val="24"/>
          <w:szCs w:val="24"/>
        </w:rPr>
        <w:br/>
      </w:r>
      <w:r w:rsidRPr="00871968">
        <w:rPr>
          <w:sz w:val="24"/>
          <w:szCs w:val="24"/>
        </w:rPr>
        <w:t xml:space="preserve">(development and uptake of digital skills, digital pedagogy, connectivity solutions, </w:t>
      </w:r>
      <w:proofErr w:type="spellStart"/>
      <w:r w:rsidRPr="00871968">
        <w:rPr>
          <w:sz w:val="24"/>
          <w:szCs w:val="24"/>
        </w:rPr>
        <w:t>digitalisation</w:t>
      </w:r>
      <w:proofErr w:type="spellEnd"/>
      <w:r w:rsidRPr="00871968">
        <w:rPr>
          <w:sz w:val="24"/>
          <w:szCs w:val="24"/>
        </w:rPr>
        <w:t>, artificial intelligence)</w:t>
      </w:r>
    </w:p>
    <w:p w14:paraId="4833A011" w14:textId="0FE590E1" w:rsidR="00D1006C" w:rsidRPr="00871968" w:rsidRDefault="00D1006C" w:rsidP="00DE1D56">
      <w:pPr>
        <w:numPr>
          <w:ilvl w:val="0"/>
          <w:numId w:val="1"/>
        </w:numPr>
        <w:tabs>
          <w:tab w:val="num" w:pos="720"/>
        </w:tabs>
        <w:spacing w:line="276" w:lineRule="auto"/>
        <w:jc w:val="thaiDistribute"/>
        <w:rPr>
          <w:sz w:val="24"/>
          <w:szCs w:val="24"/>
        </w:rPr>
      </w:pPr>
      <w:r w:rsidRPr="00871968">
        <w:rPr>
          <w:b/>
          <w:bCs/>
          <w:sz w:val="24"/>
          <w:szCs w:val="24"/>
        </w:rPr>
        <w:t>Integration of migrants</w:t>
      </w:r>
      <w:r w:rsidR="00DE1D56" w:rsidRPr="00871968">
        <w:rPr>
          <w:b/>
          <w:bCs/>
          <w:sz w:val="24"/>
          <w:szCs w:val="24"/>
        </w:rPr>
        <w:tab/>
      </w:r>
      <w:r w:rsidRPr="00871968">
        <w:rPr>
          <w:sz w:val="24"/>
          <w:szCs w:val="24"/>
        </w:rPr>
        <w:t> </w:t>
      </w:r>
      <w:r w:rsidR="00DE1D56" w:rsidRPr="00871968">
        <w:rPr>
          <w:sz w:val="24"/>
          <w:szCs w:val="24"/>
        </w:rPr>
        <w:br/>
      </w:r>
      <w:r w:rsidRPr="00871968">
        <w:rPr>
          <w:sz w:val="24"/>
          <w:szCs w:val="24"/>
        </w:rPr>
        <w:t>(promote access to education and recognition of degrees and credentials)</w:t>
      </w:r>
    </w:p>
    <w:p w14:paraId="7F907980" w14:textId="46E60D31" w:rsidR="00D1006C" w:rsidRPr="00871968" w:rsidRDefault="00D1006C" w:rsidP="00DE1D56">
      <w:pPr>
        <w:numPr>
          <w:ilvl w:val="0"/>
          <w:numId w:val="1"/>
        </w:numPr>
        <w:tabs>
          <w:tab w:val="num" w:pos="720"/>
        </w:tabs>
        <w:spacing w:line="276" w:lineRule="auto"/>
        <w:jc w:val="thaiDistribute"/>
        <w:rPr>
          <w:sz w:val="24"/>
          <w:szCs w:val="24"/>
        </w:rPr>
      </w:pPr>
      <w:r w:rsidRPr="00871968">
        <w:rPr>
          <w:b/>
          <w:bCs/>
          <w:sz w:val="24"/>
          <w:szCs w:val="24"/>
        </w:rPr>
        <w:t>Governance, peace, security and human development</w:t>
      </w:r>
      <w:r w:rsidR="00DE1D56" w:rsidRPr="00871968">
        <w:rPr>
          <w:b/>
          <w:bCs/>
          <w:sz w:val="24"/>
          <w:szCs w:val="24"/>
        </w:rPr>
        <w:tab/>
      </w:r>
      <w:r w:rsidRPr="00871968">
        <w:rPr>
          <w:sz w:val="24"/>
          <w:szCs w:val="24"/>
        </w:rPr>
        <w:t> </w:t>
      </w:r>
      <w:r w:rsidR="00DE1D56" w:rsidRPr="00871968">
        <w:rPr>
          <w:sz w:val="24"/>
          <w:szCs w:val="24"/>
        </w:rPr>
        <w:br/>
      </w:r>
      <w:r w:rsidRPr="00871968">
        <w:rPr>
          <w:sz w:val="24"/>
          <w:szCs w:val="24"/>
        </w:rPr>
        <w:t>(promotion of rule of law, human and fundamental rights, equality, democracy and good governance, and fight against corruption)</w:t>
      </w:r>
    </w:p>
    <w:p w14:paraId="58EF4DFE" w14:textId="49706D22" w:rsidR="00A5423B" w:rsidRPr="00871968" w:rsidRDefault="00D1006C" w:rsidP="00FB4E8B">
      <w:pPr>
        <w:numPr>
          <w:ilvl w:val="0"/>
          <w:numId w:val="1"/>
        </w:numPr>
        <w:tabs>
          <w:tab w:val="num" w:pos="720"/>
        </w:tabs>
        <w:spacing w:line="276" w:lineRule="auto"/>
        <w:jc w:val="thaiDistribute"/>
        <w:rPr>
          <w:sz w:val="24"/>
          <w:szCs w:val="24"/>
        </w:rPr>
      </w:pPr>
      <w:r w:rsidRPr="00871968">
        <w:rPr>
          <w:b/>
          <w:bCs/>
          <w:sz w:val="24"/>
          <w:szCs w:val="24"/>
        </w:rPr>
        <w:t>Sustainable growth and jobs</w:t>
      </w:r>
      <w:r w:rsidR="00DE1D56" w:rsidRPr="00871968">
        <w:rPr>
          <w:b/>
          <w:bCs/>
          <w:sz w:val="24"/>
          <w:szCs w:val="24"/>
        </w:rPr>
        <w:tab/>
      </w:r>
      <w:r w:rsidRPr="00871968">
        <w:rPr>
          <w:sz w:val="24"/>
          <w:szCs w:val="24"/>
        </w:rPr>
        <w:t> </w:t>
      </w:r>
      <w:r w:rsidR="00DE1D56" w:rsidRPr="00871968">
        <w:rPr>
          <w:sz w:val="24"/>
          <w:szCs w:val="24"/>
        </w:rPr>
        <w:br/>
      </w:r>
      <w:r w:rsidRPr="00871968">
        <w:rPr>
          <w:sz w:val="24"/>
          <w:szCs w:val="24"/>
        </w:rPr>
        <w:t xml:space="preserve">(support employability, tackle mismatch between education and </w:t>
      </w:r>
      <w:proofErr w:type="spellStart"/>
      <w:r w:rsidRPr="00871968">
        <w:rPr>
          <w:sz w:val="24"/>
          <w:szCs w:val="24"/>
        </w:rPr>
        <w:t>labour</w:t>
      </w:r>
      <w:proofErr w:type="spellEnd"/>
      <w:r w:rsidRPr="00871968">
        <w:rPr>
          <w:sz w:val="24"/>
          <w:szCs w:val="24"/>
        </w:rPr>
        <w:t xml:space="preserve"> market demands)</w:t>
      </w:r>
    </w:p>
    <w:p w14:paraId="6DACE7FC" w14:textId="77777777" w:rsidR="00EC6DAF" w:rsidRPr="00871968" w:rsidRDefault="00EC6DAF" w:rsidP="00EC6DAF">
      <w:pPr>
        <w:pStyle w:val="ListParagraph"/>
        <w:ind w:left="0"/>
        <w:jc w:val="thaiDistribute"/>
        <w:rPr>
          <w:sz w:val="24"/>
          <w:szCs w:val="24"/>
        </w:rPr>
      </w:pPr>
      <w:r w:rsidRPr="00871968">
        <w:rPr>
          <w:b/>
          <w:bCs/>
          <w:sz w:val="24"/>
          <w:szCs w:val="24"/>
        </w:rPr>
        <w:t>Project summary</w:t>
      </w:r>
      <w:r w:rsidRPr="00871968">
        <w:rPr>
          <w:sz w:val="24"/>
          <w:szCs w:val="24"/>
        </w:rPr>
        <w:t xml:space="preserve">: </w:t>
      </w:r>
    </w:p>
    <w:p w14:paraId="1D4CAF5A" w14:textId="595529C1" w:rsidR="00EC6DAF" w:rsidRPr="00871968" w:rsidRDefault="00EC6DAF" w:rsidP="00EC6DAF">
      <w:pPr>
        <w:numPr>
          <w:ilvl w:val="0"/>
          <w:numId w:val="1"/>
        </w:numPr>
        <w:tabs>
          <w:tab w:val="num" w:pos="720"/>
        </w:tabs>
        <w:spacing w:line="276" w:lineRule="auto"/>
        <w:rPr>
          <w:sz w:val="24"/>
          <w:szCs w:val="24"/>
        </w:rPr>
      </w:pPr>
      <w:r w:rsidRPr="00871968">
        <w:rPr>
          <w:b/>
          <w:bCs/>
          <w:sz w:val="24"/>
          <w:szCs w:val="24"/>
        </w:rPr>
        <w:t>Objectives</w:t>
      </w:r>
      <w:r w:rsidRPr="00871968">
        <w:rPr>
          <w:b/>
          <w:bCs/>
          <w:sz w:val="24"/>
          <w:szCs w:val="24"/>
        </w:rPr>
        <w:tab/>
      </w:r>
      <w:r w:rsidRPr="00871968">
        <w:rPr>
          <w:sz w:val="24"/>
          <w:szCs w:val="24"/>
        </w:rPr>
        <w:t> </w:t>
      </w:r>
      <w:r w:rsidRPr="00871968">
        <w:rPr>
          <w:sz w:val="24"/>
          <w:szCs w:val="24"/>
        </w:rPr>
        <w:br/>
      </w:r>
    </w:p>
    <w:p w14:paraId="20E41A89" w14:textId="77777777" w:rsidR="008A6080" w:rsidRPr="00871968" w:rsidRDefault="008A6080" w:rsidP="00EC6DAF">
      <w:pPr>
        <w:spacing w:line="276" w:lineRule="auto"/>
        <w:ind w:left="1080"/>
        <w:rPr>
          <w:sz w:val="24"/>
          <w:szCs w:val="24"/>
        </w:rPr>
      </w:pPr>
    </w:p>
    <w:p w14:paraId="21EFCC77" w14:textId="5DC08081" w:rsidR="00EC6DAF" w:rsidRPr="00871968" w:rsidRDefault="00EC6DAF" w:rsidP="00EC6DAF">
      <w:pPr>
        <w:numPr>
          <w:ilvl w:val="0"/>
          <w:numId w:val="1"/>
        </w:numPr>
        <w:tabs>
          <w:tab w:val="num" w:pos="720"/>
        </w:tabs>
        <w:spacing w:line="276" w:lineRule="auto"/>
        <w:jc w:val="thaiDistribute"/>
        <w:rPr>
          <w:sz w:val="24"/>
          <w:szCs w:val="24"/>
        </w:rPr>
      </w:pPr>
      <w:r w:rsidRPr="00871968">
        <w:rPr>
          <w:b/>
          <w:bCs/>
          <w:sz w:val="24"/>
          <w:szCs w:val="24"/>
        </w:rPr>
        <w:t>Activities</w:t>
      </w:r>
      <w:r w:rsidRPr="00871968">
        <w:rPr>
          <w:b/>
          <w:bCs/>
          <w:sz w:val="24"/>
          <w:szCs w:val="24"/>
        </w:rPr>
        <w:tab/>
      </w:r>
      <w:r w:rsidRPr="00871968">
        <w:rPr>
          <w:sz w:val="24"/>
          <w:szCs w:val="24"/>
        </w:rPr>
        <w:t> </w:t>
      </w:r>
      <w:r w:rsidRPr="00871968">
        <w:rPr>
          <w:sz w:val="24"/>
          <w:szCs w:val="24"/>
        </w:rPr>
        <w:br/>
      </w:r>
    </w:p>
    <w:p w14:paraId="0A8A7E22" w14:textId="77777777" w:rsidR="008A6080" w:rsidRPr="00871968" w:rsidRDefault="008A6080" w:rsidP="00EC6DAF">
      <w:pPr>
        <w:spacing w:line="276" w:lineRule="auto"/>
        <w:ind w:left="1080"/>
        <w:jc w:val="thaiDistribute"/>
        <w:rPr>
          <w:sz w:val="24"/>
          <w:szCs w:val="24"/>
        </w:rPr>
      </w:pPr>
    </w:p>
    <w:p w14:paraId="71E55BF9" w14:textId="4294C2FC" w:rsidR="00EC6DAF" w:rsidRPr="00871968" w:rsidRDefault="00EC6DAF" w:rsidP="00EC6DAF">
      <w:pPr>
        <w:numPr>
          <w:ilvl w:val="0"/>
          <w:numId w:val="1"/>
        </w:numPr>
        <w:tabs>
          <w:tab w:val="num" w:pos="720"/>
        </w:tabs>
        <w:spacing w:line="276" w:lineRule="auto"/>
        <w:jc w:val="thaiDistribute"/>
        <w:rPr>
          <w:sz w:val="24"/>
          <w:szCs w:val="24"/>
        </w:rPr>
      </w:pPr>
      <w:r w:rsidRPr="00871968">
        <w:rPr>
          <w:b/>
          <w:bCs/>
          <w:sz w:val="24"/>
          <w:szCs w:val="24"/>
        </w:rPr>
        <w:t>Expected Results</w:t>
      </w:r>
      <w:r w:rsidRPr="00871968">
        <w:rPr>
          <w:b/>
          <w:bCs/>
          <w:sz w:val="24"/>
          <w:szCs w:val="24"/>
        </w:rPr>
        <w:tab/>
      </w:r>
      <w:r w:rsidRPr="00871968">
        <w:rPr>
          <w:sz w:val="24"/>
          <w:szCs w:val="24"/>
        </w:rPr>
        <w:t> </w:t>
      </w:r>
      <w:r w:rsidRPr="00871968">
        <w:rPr>
          <w:sz w:val="24"/>
          <w:szCs w:val="24"/>
        </w:rPr>
        <w:br/>
      </w:r>
    </w:p>
    <w:p w14:paraId="1C51A626" w14:textId="77777777" w:rsidR="008A6080" w:rsidRPr="00871968" w:rsidRDefault="008A6080" w:rsidP="00EC6DAF">
      <w:pPr>
        <w:spacing w:line="276" w:lineRule="auto"/>
        <w:ind w:left="1080"/>
        <w:jc w:val="thaiDistribute"/>
        <w:rPr>
          <w:sz w:val="24"/>
          <w:szCs w:val="24"/>
        </w:rPr>
      </w:pPr>
    </w:p>
    <w:p w14:paraId="5691449A" w14:textId="2ABA3FFC" w:rsidR="00EC6DAF" w:rsidRPr="00871968" w:rsidRDefault="00EC6DAF" w:rsidP="00EC6DAF">
      <w:pPr>
        <w:numPr>
          <w:ilvl w:val="0"/>
          <w:numId w:val="1"/>
        </w:numPr>
        <w:tabs>
          <w:tab w:val="num" w:pos="720"/>
        </w:tabs>
        <w:spacing w:line="276" w:lineRule="auto"/>
        <w:jc w:val="thaiDistribute"/>
        <w:rPr>
          <w:sz w:val="24"/>
          <w:szCs w:val="24"/>
        </w:rPr>
      </w:pPr>
      <w:r w:rsidRPr="00871968">
        <w:rPr>
          <w:b/>
          <w:bCs/>
          <w:sz w:val="24"/>
          <w:szCs w:val="24"/>
        </w:rPr>
        <w:t>Potential Institutional Partners</w:t>
      </w:r>
    </w:p>
    <w:p w14:paraId="3249842F" w14:textId="2280CEE4" w:rsidR="00EC6DAF" w:rsidRDefault="00EC6DAF" w:rsidP="00EC6DAF">
      <w:pPr>
        <w:pStyle w:val="ListParagraph"/>
        <w:ind w:left="0"/>
        <w:jc w:val="thaiDistribute"/>
      </w:pPr>
      <w:r>
        <w:tab/>
      </w:r>
      <w:r>
        <w:br/>
      </w:r>
    </w:p>
    <w:p w14:paraId="0617E929" w14:textId="77777777" w:rsidR="008A6080" w:rsidRDefault="008A6080" w:rsidP="00FB4E8B">
      <w:pPr>
        <w:rPr>
          <w:b/>
          <w:bCs/>
        </w:rPr>
      </w:pPr>
    </w:p>
    <w:p w14:paraId="187CFA61" w14:textId="20F63E83" w:rsidR="00EC6DAF" w:rsidRPr="00EC6DAF" w:rsidRDefault="00EC6DAF" w:rsidP="00FB4E8B">
      <w:pPr>
        <w:rPr>
          <w:b/>
          <w:bCs/>
        </w:rPr>
      </w:pPr>
      <w:proofErr w:type="gramStart"/>
      <w:r w:rsidRPr="00EC6DAF">
        <w:rPr>
          <w:b/>
          <w:bCs/>
        </w:rPr>
        <w:lastRenderedPageBreak/>
        <w:t>Note :</w:t>
      </w:r>
      <w:proofErr w:type="gramEnd"/>
      <w:r w:rsidRPr="00EC6DAF">
        <w:rPr>
          <w:b/>
          <w:bCs/>
        </w:rPr>
        <w:t xml:space="preserve"> </w:t>
      </w:r>
    </w:p>
    <w:p w14:paraId="7108B183" w14:textId="7917935B" w:rsidR="00FB4E8B" w:rsidRDefault="00E805B2" w:rsidP="00FB4E8B">
      <w:r>
        <w:t xml:space="preserve">For </w:t>
      </w:r>
      <w:r w:rsidR="00FB4E8B">
        <w:t>Region 5a: Asia</w:t>
      </w:r>
      <w:r>
        <w:t xml:space="preserve"> </w:t>
      </w:r>
    </w:p>
    <w:p w14:paraId="02D40877" w14:textId="09CCF75D" w:rsidR="00FB4E8B" w:rsidRDefault="00FB4E8B" w:rsidP="00DD1005">
      <w:pPr>
        <w:jc w:val="thaiDistribute"/>
      </w:pPr>
      <w:r w:rsidRPr="00EC6DAF">
        <w:rPr>
          <w:b/>
          <w:bCs/>
        </w:rPr>
        <w:t>Green Deal:</w:t>
      </w:r>
      <w:r>
        <w:t xml:space="preserve"> Projects should respond to the growing challenges of climate change and environmental degradation in Asia and provide capacities for climate-resilient studies to provide solutions to environmental challenges in the Region. Projects should also support the green and economic transition in Asia by strengthening links with the private sector and by enhancing the knowledge and skills needed for a modern work force.</w:t>
      </w:r>
    </w:p>
    <w:p w14:paraId="397B0E4A" w14:textId="5310CFC7" w:rsidR="00FB4E8B" w:rsidRDefault="00FB4E8B" w:rsidP="00DD1005">
      <w:pPr>
        <w:jc w:val="thaiDistribute"/>
      </w:pPr>
      <w:r w:rsidRPr="00EC6DAF">
        <w:rPr>
          <w:b/>
          <w:bCs/>
        </w:rPr>
        <w:t>Digital transformation:</w:t>
      </w:r>
      <w:r>
        <w:t xml:space="preserve"> Promoting digital technologies and services will foster socio-economic development in Asia. Projects should help to bridge the digital divide in Asia by promoting and developing digital literacy and skills as well as support the digital economy and connectivity through digital education strategies.</w:t>
      </w:r>
    </w:p>
    <w:p w14:paraId="6BA5AD70" w14:textId="7955AA01" w:rsidR="00FB4E8B" w:rsidRDefault="00FB4E8B" w:rsidP="00DD1005">
      <w:pPr>
        <w:jc w:val="thaiDistribute"/>
      </w:pPr>
      <w:r w:rsidRPr="00EC6DAF">
        <w:rPr>
          <w:b/>
          <w:bCs/>
        </w:rPr>
        <w:t>Integration of migrants:</w:t>
      </w:r>
      <w:r>
        <w:t xml:space="preserve"> Projects should promote mobility and in particular support the recognition of degrees and credentials in Asia, also to support intra-regional connectivity. Projects should support the integration of migrants and displaced persons through the access to education.</w:t>
      </w:r>
    </w:p>
    <w:p w14:paraId="49E31520" w14:textId="432E2DDE" w:rsidR="00FB4E8B" w:rsidRDefault="00FB4E8B" w:rsidP="00DD1005">
      <w:pPr>
        <w:jc w:val="thaiDistribute"/>
      </w:pPr>
      <w:r w:rsidRPr="00EC6DAF">
        <w:rPr>
          <w:b/>
          <w:bCs/>
        </w:rPr>
        <w:t>Governance, peace, security and human development:</w:t>
      </w:r>
      <w:r>
        <w:t xml:space="preserve"> To advance social cohesion, projects should create knowledge, awareness as well as capacity such as for democratic governance, human development, and intercultural dialogue, thereby exposing the Region to European best practices in this regard.</w:t>
      </w:r>
    </w:p>
    <w:p w14:paraId="5D6CD06F" w14:textId="26C1715B" w:rsidR="004C1FF4" w:rsidRDefault="00FB4E8B" w:rsidP="00AD1FFB">
      <w:pPr>
        <w:jc w:val="thaiDistribute"/>
      </w:pPr>
      <w:r w:rsidRPr="00EC6DAF">
        <w:rPr>
          <w:b/>
          <w:bCs/>
        </w:rPr>
        <w:t>Sustainable growth and jobs:</w:t>
      </w:r>
      <w:r>
        <w:t xml:space="preserve"> Due to Asia’s economic dynamism, projects should support the upskilling of the young population in Asia. Projects should also help to identify education gaps that can contribute to economic growth and jobs, while exporting the EU’s sustainable growth and governance model.</w:t>
      </w:r>
    </w:p>
    <w:p w14:paraId="66266F85" w14:textId="77777777" w:rsidR="00871968" w:rsidRDefault="00871968" w:rsidP="00AD1FFB">
      <w:pPr>
        <w:jc w:val="thaiDistribute"/>
      </w:pPr>
    </w:p>
    <w:tbl>
      <w:tblPr>
        <w:tblStyle w:val="TableGrid"/>
        <w:tblW w:w="0" w:type="auto"/>
        <w:jc w:val="center"/>
        <w:tblLook w:val="04A0" w:firstRow="1" w:lastRow="0" w:firstColumn="1" w:lastColumn="0" w:noHBand="0" w:noVBand="1"/>
      </w:tblPr>
      <w:tblGrid>
        <w:gridCol w:w="1625"/>
        <w:gridCol w:w="7725"/>
      </w:tblGrid>
      <w:tr w:rsidR="004C1FF4" w14:paraId="55181A59" w14:textId="77777777" w:rsidTr="0047446B">
        <w:trPr>
          <w:jc w:val="center"/>
        </w:trPr>
        <w:tc>
          <w:tcPr>
            <w:tcW w:w="9350" w:type="dxa"/>
            <w:gridSpan w:val="2"/>
            <w:shd w:val="clear" w:color="auto" w:fill="BFBFBF" w:themeFill="background1" w:themeFillShade="BF"/>
          </w:tcPr>
          <w:p w14:paraId="4E274F40" w14:textId="4776DBB2" w:rsidR="004C1FF4" w:rsidRPr="005B0CFD" w:rsidRDefault="004C1FF4" w:rsidP="004C1FF4">
            <w:pPr>
              <w:jc w:val="thaiDistribute"/>
              <w:rPr>
                <w:b/>
                <w:bCs/>
              </w:rPr>
            </w:pPr>
            <w:r w:rsidRPr="005B0CFD">
              <w:rPr>
                <w:b/>
                <w:bCs/>
              </w:rPr>
              <w:t>Member States of the European Union (EU)</w:t>
            </w:r>
            <w:r w:rsidR="0047446B" w:rsidRPr="005B0CFD">
              <w:rPr>
                <w:b/>
                <w:bCs/>
              </w:rPr>
              <w:t xml:space="preserve"> </w:t>
            </w:r>
          </w:p>
        </w:tc>
      </w:tr>
      <w:tr w:rsidR="004C1FF4" w14:paraId="58D51825" w14:textId="77777777" w:rsidTr="0047446B">
        <w:trPr>
          <w:jc w:val="center"/>
        </w:trPr>
        <w:tc>
          <w:tcPr>
            <w:tcW w:w="9350" w:type="dxa"/>
            <w:gridSpan w:val="2"/>
          </w:tcPr>
          <w:p w14:paraId="53E72B72" w14:textId="7F26D66A" w:rsidR="0047446B" w:rsidRPr="00EC6DAF" w:rsidRDefault="0047446B" w:rsidP="004D7D66">
            <w:pPr>
              <w:spacing w:line="276" w:lineRule="auto"/>
              <w:jc w:val="thaiDistribute"/>
            </w:pPr>
            <w:r w:rsidRPr="00EC6DAF">
              <w:t>Belgium</w:t>
            </w:r>
            <w:r w:rsidR="004D7D66" w:rsidRPr="00EC6DAF">
              <w:t>,</w:t>
            </w:r>
            <w:r w:rsidRPr="00EC6DAF">
              <w:t xml:space="preserve"> Bulgaria</w:t>
            </w:r>
            <w:r w:rsidR="004D7D66" w:rsidRPr="00EC6DAF">
              <w:t>,</w:t>
            </w:r>
            <w:r w:rsidRPr="00EC6DAF">
              <w:t xml:space="preserve"> Czechia</w:t>
            </w:r>
            <w:r w:rsidR="004D7D66" w:rsidRPr="00EC6DAF">
              <w:t>,</w:t>
            </w:r>
            <w:r w:rsidRPr="00EC6DAF">
              <w:t xml:space="preserve"> Denmark</w:t>
            </w:r>
            <w:r w:rsidR="004D7D66" w:rsidRPr="00EC6DAF">
              <w:t>,</w:t>
            </w:r>
            <w:r w:rsidRPr="00EC6DAF">
              <w:t xml:space="preserve"> Germany</w:t>
            </w:r>
            <w:r w:rsidR="004D7D66" w:rsidRPr="00EC6DAF">
              <w:t>,</w:t>
            </w:r>
            <w:r w:rsidRPr="00EC6DAF">
              <w:t xml:space="preserve"> Estonia</w:t>
            </w:r>
            <w:r w:rsidR="004D7D66" w:rsidRPr="00EC6DAF">
              <w:t>,</w:t>
            </w:r>
            <w:r w:rsidRPr="00EC6DAF">
              <w:t xml:space="preserve"> Ireland</w:t>
            </w:r>
            <w:r w:rsidR="004D7D66" w:rsidRPr="00EC6DAF">
              <w:t>,</w:t>
            </w:r>
            <w:r w:rsidRPr="00EC6DAF">
              <w:t xml:space="preserve"> Greece</w:t>
            </w:r>
            <w:r w:rsidR="004D7D66" w:rsidRPr="00EC6DAF">
              <w:t>,</w:t>
            </w:r>
            <w:r w:rsidRPr="00EC6DAF">
              <w:t xml:space="preserve"> Spain</w:t>
            </w:r>
            <w:r w:rsidR="004D7D66" w:rsidRPr="00EC6DAF">
              <w:t>,</w:t>
            </w:r>
            <w:r w:rsidRPr="00EC6DAF">
              <w:t xml:space="preserve"> France</w:t>
            </w:r>
            <w:r w:rsidR="004D7D66" w:rsidRPr="00EC6DAF">
              <w:t>,</w:t>
            </w:r>
            <w:r w:rsidRPr="00EC6DAF">
              <w:t xml:space="preserve"> Croatia</w:t>
            </w:r>
            <w:r w:rsidR="004D7D66" w:rsidRPr="00EC6DAF">
              <w:t>,</w:t>
            </w:r>
            <w:r w:rsidRPr="00EC6DAF">
              <w:t xml:space="preserve"> Italy</w:t>
            </w:r>
            <w:r w:rsidR="004D7D66" w:rsidRPr="00EC6DAF">
              <w:t>,</w:t>
            </w:r>
            <w:r w:rsidRPr="00EC6DAF">
              <w:t xml:space="preserve"> </w:t>
            </w:r>
          </w:p>
          <w:p w14:paraId="18B7A8D8" w14:textId="51341E85" w:rsidR="004C1FF4" w:rsidRPr="00EC6DAF" w:rsidRDefault="0047446B" w:rsidP="004D7D66">
            <w:pPr>
              <w:spacing w:line="276" w:lineRule="auto"/>
            </w:pPr>
            <w:r w:rsidRPr="00EC6DAF">
              <w:t>Cyprus</w:t>
            </w:r>
            <w:r w:rsidR="004D7D66" w:rsidRPr="00EC6DAF">
              <w:t>,</w:t>
            </w:r>
            <w:r w:rsidRPr="00EC6DAF">
              <w:t xml:space="preserve"> Latvia</w:t>
            </w:r>
            <w:r w:rsidR="004D7D66" w:rsidRPr="00EC6DAF">
              <w:t>,</w:t>
            </w:r>
            <w:r w:rsidRPr="00EC6DAF">
              <w:t xml:space="preserve"> Lithuania</w:t>
            </w:r>
            <w:r w:rsidR="004D7D66" w:rsidRPr="00EC6DAF">
              <w:t>,</w:t>
            </w:r>
            <w:r w:rsidRPr="00EC6DAF">
              <w:t xml:space="preserve"> Luxembourg</w:t>
            </w:r>
            <w:r w:rsidR="004D7D66" w:rsidRPr="00EC6DAF">
              <w:t>,</w:t>
            </w:r>
            <w:r w:rsidRPr="00EC6DAF">
              <w:t xml:space="preserve"> Hungary</w:t>
            </w:r>
            <w:r w:rsidR="004D7D66" w:rsidRPr="00EC6DAF">
              <w:t>,</w:t>
            </w:r>
            <w:r w:rsidRPr="00EC6DAF">
              <w:t xml:space="preserve"> Malta</w:t>
            </w:r>
            <w:r w:rsidR="004D7D66" w:rsidRPr="00EC6DAF">
              <w:t>,</w:t>
            </w:r>
            <w:r w:rsidRPr="00EC6DAF">
              <w:t xml:space="preserve"> Netherlands</w:t>
            </w:r>
            <w:r w:rsidR="004D7D66" w:rsidRPr="00EC6DAF">
              <w:t>,</w:t>
            </w:r>
            <w:r w:rsidRPr="00EC6DAF">
              <w:t xml:space="preserve"> Austria</w:t>
            </w:r>
            <w:r w:rsidR="004D7D66" w:rsidRPr="00EC6DAF">
              <w:t>,</w:t>
            </w:r>
            <w:r w:rsidRPr="00EC6DAF">
              <w:t xml:space="preserve"> Poland</w:t>
            </w:r>
            <w:r w:rsidR="004D7D66" w:rsidRPr="00EC6DAF">
              <w:t>,</w:t>
            </w:r>
            <w:r w:rsidRPr="00EC6DAF">
              <w:t xml:space="preserve"> Portugal</w:t>
            </w:r>
            <w:r w:rsidR="004D7D66" w:rsidRPr="00EC6DAF">
              <w:t>,</w:t>
            </w:r>
            <w:r w:rsidRPr="00EC6DAF">
              <w:t xml:space="preserve"> Romania</w:t>
            </w:r>
            <w:r w:rsidR="004D7D66" w:rsidRPr="00EC6DAF">
              <w:t>,</w:t>
            </w:r>
            <w:r w:rsidRPr="00EC6DAF">
              <w:t xml:space="preserve"> Slovenia</w:t>
            </w:r>
            <w:r w:rsidR="004D7D66" w:rsidRPr="00EC6DAF">
              <w:t>,</w:t>
            </w:r>
            <w:r w:rsidRPr="00EC6DAF">
              <w:t xml:space="preserve"> Slovakia</w:t>
            </w:r>
            <w:r w:rsidR="004D7D66" w:rsidRPr="00EC6DAF">
              <w:t>,</w:t>
            </w:r>
            <w:r w:rsidRPr="00EC6DAF">
              <w:t xml:space="preserve"> Finland</w:t>
            </w:r>
            <w:r w:rsidR="004D7D66" w:rsidRPr="00EC6DAF">
              <w:t>,</w:t>
            </w:r>
            <w:r w:rsidRPr="00EC6DAF">
              <w:t xml:space="preserve"> Sweden</w:t>
            </w:r>
          </w:p>
        </w:tc>
      </w:tr>
      <w:tr w:rsidR="0047446B" w14:paraId="6D27E82A" w14:textId="77777777" w:rsidTr="0047446B">
        <w:trPr>
          <w:jc w:val="center"/>
        </w:trPr>
        <w:tc>
          <w:tcPr>
            <w:tcW w:w="9350" w:type="dxa"/>
            <w:gridSpan w:val="2"/>
            <w:shd w:val="clear" w:color="auto" w:fill="BFBFBF" w:themeFill="background1" w:themeFillShade="BF"/>
          </w:tcPr>
          <w:p w14:paraId="489A93E1" w14:textId="456A3D7E" w:rsidR="0047446B" w:rsidRPr="005B0CFD" w:rsidRDefault="0047446B" w:rsidP="0047446B">
            <w:pPr>
              <w:jc w:val="thaiDistribute"/>
              <w:rPr>
                <w:b/>
                <w:bCs/>
              </w:rPr>
            </w:pPr>
            <w:r w:rsidRPr="005B0CFD">
              <w:rPr>
                <w:b/>
                <w:bCs/>
              </w:rPr>
              <w:t>Third countries associated to the Programme</w:t>
            </w:r>
          </w:p>
        </w:tc>
      </w:tr>
      <w:tr w:rsidR="0047446B" w14:paraId="2D3B5E40" w14:textId="77777777" w:rsidTr="0047446B">
        <w:trPr>
          <w:jc w:val="center"/>
        </w:trPr>
        <w:tc>
          <w:tcPr>
            <w:tcW w:w="9350" w:type="dxa"/>
            <w:gridSpan w:val="2"/>
          </w:tcPr>
          <w:p w14:paraId="4BEBB995" w14:textId="0718765C" w:rsidR="0047446B" w:rsidRPr="00EC6DAF" w:rsidRDefault="0047446B" w:rsidP="004D7D66">
            <w:pPr>
              <w:spacing w:line="276" w:lineRule="auto"/>
              <w:jc w:val="thaiDistribute"/>
            </w:pPr>
            <w:r w:rsidRPr="00EC6DAF">
              <w:t>North Macedonia</w:t>
            </w:r>
            <w:r w:rsidR="004D7D66" w:rsidRPr="00EC6DAF">
              <w:t>,</w:t>
            </w:r>
            <w:r w:rsidRPr="00EC6DAF">
              <w:t xml:space="preserve"> Serbia</w:t>
            </w:r>
            <w:r w:rsidR="004D7D66" w:rsidRPr="00EC6DAF">
              <w:t>,</w:t>
            </w:r>
            <w:r w:rsidRPr="00EC6DAF">
              <w:t xml:space="preserve"> Iceland</w:t>
            </w:r>
            <w:r w:rsidR="004D7D66" w:rsidRPr="00EC6DAF">
              <w:t>,</w:t>
            </w:r>
            <w:r w:rsidRPr="00EC6DAF">
              <w:t xml:space="preserve"> Liechtenstein</w:t>
            </w:r>
            <w:r w:rsidR="004D7D66" w:rsidRPr="00EC6DAF">
              <w:t>,</w:t>
            </w:r>
            <w:r w:rsidRPr="00EC6DAF">
              <w:t xml:space="preserve"> Norway</w:t>
            </w:r>
            <w:r w:rsidR="004D7D66" w:rsidRPr="00EC6DAF">
              <w:t>,</w:t>
            </w:r>
            <w:r w:rsidRPr="00EC6DAF">
              <w:t xml:space="preserve"> </w:t>
            </w:r>
            <w:proofErr w:type="spellStart"/>
            <w:r w:rsidRPr="00EC6DAF">
              <w:t>Türkiye</w:t>
            </w:r>
            <w:proofErr w:type="spellEnd"/>
          </w:p>
        </w:tc>
      </w:tr>
      <w:tr w:rsidR="0047446B" w14:paraId="3F9D6F70" w14:textId="77777777" w:rsidTr="0047446B">
        <w:trPr>
          <w:jc w:val="center"/>
        </w:trPr>
        <w:tc>
          <w:tcPr>
            <w:tcW w:w="9350" w:type="dxa"/>
            <w:gridSpan w:val="2"/>
            <w:shd w:val="clear" w:color="auto" w:fill="BFBFBF" w:themeFill="background1" w:themeFillShade="BF"/>
          </w:tcPr>
          <w:p w14:paraId="4B3B5E4C" w14:textId="55E90233" w:rsidR="0047446B" w:rsidRPr="005B0CFD" w:rsidRDefault="0047446B" w:rsidP="0047446B">
            <w:pPr>
              <w:jc w:val="thaiDistribute"/>
              <w:rPr>
                <w:b/>
                <w:bCs/>
              </w:rPr>
            </w:pPr>
            <w:r w:rsidRPr="005B0CFD">
              <w:rPr>
                <w:b/>
                <w:bCs/>
              </w:rPr>
              <w:t xml:space="preserve">Third countries </w:t>
            </w:r>
            <w:proofErr w:type="spellStart"/>
            <w:r w:rsidRPr="005B0CFD">
              <w:rPr>
                <w:b/>
                <w:bCs/>
              </w:rPr>
              <w:t>notassociated</w:t>
            </w:r>
            <w:proofErr w:type="spellEnd"/>
            <w:r w:rsidRPr="005B0CFD">
              <w:rPr>
                <w:b/>
                <w:bCs/>
              </w:rPr>
              <w:t xml:space="preserve"> to the </w:t>
            </w:r>
            <w:proofErr w:type="spellStart"/>
            <w:r w:rsidRPr="005B0CFD">
              <w:rPr>
                <w:b/>
                <w:bCs/>
              </w:rPr>
              <w:t>Programme</w:t>
            </w:r>
            <w:proofErr w:type="spellEnd"/>
          </w:p>
        </w:tc>
      </w:tr>
      <w:tr w:rsidR="0047446B" w14:paraId="756D2549" w14:textId="77777777" w:rsidTr="0047446B">
        <w:trPr>
          <w:jc w:val="center"/>
        </w:trPr>
        <w:tc>
          <w:tcPr>
            <w:tcW w:w="1555" w:type="dxa"/>
          </w:tcPr>
          <w:p w14:paraId="72B37680" w14:textId="77777777" w:rsidR="004D7D66" w:rsidRPr="00EC6DAF" w:rsidRDefault="004D7D66" w:rsidP="004D7D66">
            <w:pPr>
              <w:spacing w:line="276" w:lineRule="auto"/>
            </w:pPr>
            <w:r w:rsidRPr="00EC6DAF">
              <w:t xml:space="preserve">Western Balkans </w:t>
            </w:r>
          </w:p>
          <w:p w14:paraId="30577258" w14:textId="69D5F326" w:rsidR="0047446B" w:rsidRPr="00EC6DAF" w:rsidRDefault="004D7D66" w:rsidP="004D7D66">
            <w:pPr>
              <w:spacing w:line="276" w:lineRule="auto"/>
            </w:pPr>
            <w:r w:rsidRPr="00EC6DAF">
              <w:t>(Region 1)</w:t>
            </w:r>
          </w:p>
        </w:tc>
        <w:tc>
          <w:tcPr>
            <w:tcW w:w="7795" w:type="dxa"/>
          </w:tcPr>
          <w:p w14:paraId="58A2B7AC" w14:textId="3045A9B9" w:rsidR="0047446B" w:rsidRPr="00EC6DAF" w:rsidRDefault="004D7D66" w:rsidP="004D7D66">
            <w:pPr>
              <w:spacing w:line="276" w:lineRule="auto"/>
              <w:jc w:val="thaiDistribute"/>
            </w:pPr>
            <w:r w:rsidRPr="00EC6DAF">
              <w:t>Albania, Bosnia and Herzegovina, Kosovo26, Montenegro</w:t>
            </w:r>
          </w:p>
        </w:tc>
      </w:tr>
      <w:tr w:rsidR="0047446B" w14:paraId="5070A655" w14:textId="77777777" w:rsidTr="0047446B">
        <w:trPr>
          <w:jc w:val="center"/>
        </w:trPr>
        <w:tc>
          <w:tcPr>
            <w:tcW w:w="1555" w:type="dxa"/>
          </w:tcPr>
          <w:p w14:paraId="2A0AD93B" w14:textId="77777777" w:rsidR="004D7D66" w:rsidRPr="00EC6DAF" w:rsidRDefault="004D7D66" w:rsidP="004D7D66">
            <w:pPr>
              <w:spacing w:line="276" w:lineRule="auto"/>
            </w:pPr>
            <w:proofErr w:type="spellStart"/>
            <w:r w:rsidRPr="00EC6DAF">
              <w:t>Neighbourhood</w:t>
            </w:r>
            <w:proofErr w:type="spellEnd"/>
            <w:r w:rsidRPr="00EC6DAF">
              <w:t xml:space="preserve"> East </w:t>
            </w:r>
          </w:p>
          <w:p w14:paraId="1CCBE19B" w14:textId="7D3C7749" w:rsidR="0047446B" w:rsidRPr="00EC6DAF" w:rsidRDefault="004D7D66" w:rsidP="004D7D66">
            <w:pPr>
              <w:spacing w:line="276" w:lineRule="auto"/>
            </w:pPr>
            <w:r w:rsidRPr="00EC6DAF">
              <w:t>(Region 2)</w:t>
            </w:r>
          </w:p>
        </w:tc>
        <w:tc>
          <w:tcPr>
            <w:tcW w:w="7795" w:type="dxa"/>
          </w:tcPr>
          <w:p w14:paraId="549AC47C" w14:textId="5EA1DC23" w:rsidR="0047446B" w:rsidRPr="00EC6DAF" w:rsidRDefault="004D7D66" w:rsidP="004D7D66">
            <w:pPr>
              <w:spacing w:line="276" w:lineRule="auto"/>
              <w:jc w:val="thaiDistribute"/>
            </w:pPr>
            <w:r w:rsidRPr="00EC6DAF">
              <w:t xml:space="preserve">Armenia, Azerbaijan, Belarus, Georgia, Moldova, Territory of Ukraine as </w:t>
            </w:r>
            <w:proofErr w:type="spellStart"/>
            <w:r w:rsidRPr="00EC6DAF">
              <w:t>recognised</w:t>
            </w:r>
            <w:proofErr w:type="spellEnd"/>
            <w:r w:rsidRPr="00EC6DAF">
              <w:t xml:space="preserve"> by international law</w:t>
            </w:r>
          </w:p>
        </w:tc>
      </w:tr>
      <w:tr w:rsidR="0047446B" w14:paraId="68F13A98" w14:textId="77777777" w:rsidTr="0047446B">
        <w:trPr>
          <w:jc w:val="center"/>
        </w:trPr>
        <w:tc>
          <w:tcPr>
            <w:tcW w:w="1555" w:type="dxa"/>
          </w:tcPr>
          <w:p w14:paraId="75C6B1C3" w14:textId="77777777" w:rsidR="004D7D66" w:rsidRPr="00EC6DAF" w:rsidRDefault="004D7D66" w:rsidP="004D7D66">
            <w:pPr>
              <w:spacing w:line="276" w:lineRule="auto"/>
            </w:pPr>
            <w:r w:rsidRPr="00EC6DAF">
              <w:t xml:space="preserve">South-Mediterranean </w:t>
            </w:r>
          </w:p>
          <w:p w14:paraId="629E7029" w14:textId="77777777" w:rsidR="004D7D66" w:rsidRPr="00EC6DAF" w:rsidRDefault="004D7D66" w:rsidP="004D7D66">
            <w:pPr>
              <w:spacing w:line="276" w:lineRule="auto"/>
            </w:pPr>
            <w:r w:rsidRPr="00EC6DAF">
              <w:t xml:space="preserve">countries </w:t>
            </w:r>
          </w:p>
          <w:p w14:paraId="64712B5C" w14:textId="7341CB81" w:rsidR="0047446B" w:rsidRPr="00EC6DAF" w:rsidRDefault="004D7D66" w:rsidP="004D7D66">
            <w:pPr>
              <w:spacing w:line="276" w:lineRule="auto"/>
            </w:pPr>
            <w:r w:rsidRPr="00EC6DAF">
              <w:t>(Region 3)</w:t>
            </w:r>
          </w:p>
        </w:tc>
        <w:tc>
          <w:tcPr>
            <w:tcW w:w="7795" w:type="dxa"/>
          </w:tcPr>
          <w:p w14:paraId="64995225" w14:textId="168F26EA" w:rsidR="0047446B" w:rsidRPr="00EC6DAF" w:rsidRDefault="004D7D66" w:rsidP="004D7D66">
            <w:pPr>
              <w:spacing w:line="276" w:lineRule="auto"/>
              <w:jc w:val="thaiDistribute"/>
            </w:pPr>
            <w:r w:rsidRPr="00EC6DAF">
              <w:t>Algeria, Egypt, Israel, Jordan, Lebanon, Libya, Morocco, Palestine, Syria, Tunisia</w:t>
            </w:r>
          </w:p>
        </w:tc>
      </w:tr>
      <w:tr w:rsidR="0047446B" w14:paraId="429F1189" w14:textId="77777777" w:rsidTr="0047446B">
        <w:trPr>
          <w:jc w:val="center"/>
        </w:trPr>
        <w:tc>
          <w:tcPr>
            <w:tcW w:w="1555" w:type="dxa"/>
          </w:tcPr>
          <w:p w14:paraId="2E1CC0C5" w14:textId="77777777" w:rsidR="004D7D66" w:rsidRPr="00EC6DAF" w:rsidRDefault="004D7D66" w:rsidP="004D7D66">
            <w:pPr>
              <w:spacing w:line="276" w:lineRule="auto"/>
            </w:pPr>
            <w:r w:rsidRPr="00EC6DAF">
              <w:t xml:space="preserve">Russian Federation </w:t>
            </w:r>
          </w:p>
          <w:p w14:paraId="1A2EB6A0" w14:textId="201C081B" w:rsidR="0047446B" w:rsidRPr="00EC6DAF" w:rsidRDefault="004D7D66" w:rsidP="004D7D66">
            <w:pPr>
              <w:spacing w:line="276" w:lineRule="auto"/>
            </w:pPr>
            <w:r w:rsidRPr="00EC6DAF">
              <w:t xml:space="preserve">(Region 4)  </w:t>
            </w:r>
          </w:p>
        </w:tc>
        <w:tc>
          <w:tcPr>
            <w:tcW w:w="7795" w:type="dxa"/>
          </w:tcPr>
          <w:p w14:paraId="0D20E933" w14:textId="5D65D376" w:rsidR="0047446B" w:rsidRPr="00EC6DAF" w:rsidRDefault="004D7D66" w:rsidP="004D7D66">
            <w:pPr>
              <w:spacing w:line="276" w:lineRule="auto"/>
              <w:jc w:val="thaiDistribute"/>
            </w:pPr>
            <w:r w:rsidRPr="00EC6DAF">
              <w:t xml:space="preserve">Territory of Russia as </w:t>
            </w:r>
            <w:proofErr w:type="spellStart"/>
            <w:r w:rsidRPr="00EC6DAF">
              <w:t>recognised</w:t>
            </w:r>
            <w:proofErr w:type="spellEnd"/>
            <w:r w:rsidRPr="00EC6DAF">
              <w:t xml:space="preserve"> by international law</w:t>
            </w:r>
          </w:p>
        </w:tc>
      </w:tr>
      <w:tr w:rsidR="0047446B" w14:paraId="6FC0F155" w14:textId="77777777" w:rsidTr="0047446B">
        <w:trPr>
          <w:jc w:val="center"/>
        </w:trPr>
        <w:tc>
          <w:tcPr>
            <w:tcW w:w="1555" w:type="dxa"/>
          </w:tcPr>
          <w:p w14:paraId="7471CC40" w14:textId="625686A9" w:rsidR="0047446B" w:rsidRPr="00EC6DAF" w:rsidRDefault="004D7D66" w:rsidP="004D7D66">
            <w:pPr>
              <w:spacing w:line="276" w:lineRule="auto"/>
            </w:pPr>
            <w:r w:rsidRPr="00EC6DAF">
              <w:lastRenderedPageBreak/>
              <w:t>Region 5 Asia</w:t>
            </w:r>
          </w:p>
        </w:tc>
        <w:tc>
          <w:tcPr>
            <w:tcW w:w="7795" w:type="dxa"/>
          </w:tcPr>
          <w:p w14:paraId="11712D02" w14:textId="77777777" w:rsidR="004D7D66" w:rsidRPr="00EC6DAF" w:rsidRDefault="004D7D66" w:rsidP="004D7D66">
            <w:pPr>
              <w:spacing w:line="276" w:lineRule="auto"/>
              <w:jc w:val="thaiDistribute"/>
            </w:pPr>
            <w:r w:rsidRPr="00EC6DAF">
              <w:t xml:space="preserve">a) Bangladesh, Bhutan, Cambodia, China, DPR Korea, India, Indonesia, Laos, Malaysia, </w:t>
            </w:r>
          </w:p>
          <w:p w14:paraId="3DD8559B" w14:textId="77777777" w:rsidR="004D7D66" w:rsidRPr="00EC6DAF" w:rsidRDefault="004D7D66" w:rsidP="004D7D66">
            <w:pPr>
              <w:spacing w:line="276" w:lineRule="auto"/>
              <w:jc w:val="thaiDistribute"/>
            </w:pPr>
            <w:r w:rsidRPr="00EC6DAF">
              <w:t xml:space="preserve">Maldives, Mongolia, Myanmar, Nepal, Pakistan, Philippines, Sri Lanka, Thailand and </w:t>
            </w:r>
          </w:p>
          <w:p w14:paraId="2F590346" w14:textId="77777777" w:rsidR="004D7D66" w:rsidRPr="00EC6DAF" w:rsidRDefault="004D7D66" w:rsidP="004D7D66">
            <w:pPr>
              <w:spacing w:line="276" w:lineRule="auto"/>
              <w:jc w:val="thaiDistribute"/>
            </w:pPr>
            <w:r w:rsidRPr="00EC6DAF">
              <w:t xml:space="preserve">Vietnam </w:t>
            </w:r>
          </w:p>
          <w:p w14:paraId="4CB5A67D" w14:textId="06E9C9B2" w:rsidR="0047446B" w:rsidRPr="00EC6DAF" w:rsidRDefault="004D7D66" w:rsidP="004D7D66">
            <w:pPr>
              <w:spacing w:line="276" w:lineRule="auto"/>
              <w:jc w:val="thaiDistribute"/>
            </w:pPr>
            <w:r w:rsidRPr="00EC6DAF">
              <w:t>b) High income countries and territories32: Brunei, Hong Kong, Japan, Republic of Korea, Macao, Singapore and Taiwan</w:t>
            </w:r>
          </w:p>
        </w:tc>
      </w:tr>
      <w:tr w:rsidR="0047446B" w14:paraId="2AF6A60F" w14:textId="77777777" w:rsidTr="0047446B">
        <w:trPr>
          <w:jc w:val="center"/>
        </w:trPr>
        <w:tc>
          <w:tcPr>
            <w:tcW w:w="1555" w:type="dxa"/>
          </w:tcPr>
          <w:p w14:paraId="71F8A156" w14:textId="77777777" w:rsidR="004D7D66" w:rsidRPr="00EC6DAF" w:rsidRDefault="004D7D66" w:rsidP="004D7D66">
            <w:pPr>
              <w:spacing w:line="276" w:lineRule="auto"/>
              <w:jc w:val="thaiDistribute"/>
            </w:pPr>
            <w:r w:rsidRPr="00EC6DAF">
              <w:t xml:space="preserve">Region 6 </w:t>
            </w:r>
          </w:p>
          <w:p w14:paraId="76372BBA" w14:textId="6A525FFE" w:rsidR="0047446B" w:rsidRPr="00EC6DAF" w:rsidRDefault="004D7D66" w:rsidP="004D7D66">
            <w:pPr>
              <w:spacing w:line="276" w:lineRule="auto"/>
              <w:jc w:val="thaiDistribute"/>
            </w:pPr>
            <w:r w:rsidRPr="00EC6DAF">
              <w:t>Central Asia</w:t>
            </w:r>
          </w:p>
        </w:tc>
        <w:tc>
          <w:tcPr>
            <w:tcW w:w="7795" w:type="dxa"/>
          </w:tcPr>
          <w:p w14:paraId="3D957D59" w14:textId="67994359" w:rsidR="0047446B" w:rsidRPr="00EC6DAF" w:rsidRDefault="004D7D66" w:rsidP="004D7D66">
            <w:pPr>
              <w:spacing w:line="276" w:lineRule="auto"/>
              <w:jc w:val="thaiDistribute"/>
            </w:pPr>
            <w:r w:rsidRPr="00EC6DAF">
              <w:t>Afghanistan, Kazakhstan, Kyrgyzstan, Tajikistan, Turkmenistan, Uzbekistan</w:t>
            </w:r>
          </w:p>
        </w:tc>
      </w:tr>
      <w:tr w:rsidR="0047446B" w14:paraId="3A6343E3" w14:textId="77777777" w:rsidTr="0047446B">
        <w:trPr>
          <w:jc w:val="center"/>
        </w:trPr>
        <w:tc>
          <w:tcPr>
            <w:tcW w:w="1555" w:type="dxa"/>
          </w:tcPr>
          <w:p w14:paraId="5DD407BB" w14:textId="77777777" w:rsidR="004D7D66" w:rsidRPr="00EC6DAF" w:rsidRDefault="004D7D66" w:rsidP="004D7D66">
            <w:pPr>
              <w:spacing w:line="276" w:lineRule="auto"/>
              <w:jc w:val="thaiDistribute"/>
            </w:pPr>
            <w:r w:rsidRPr="00EC6DAF">
              <w:t xml:space="preserve">Region 7  </w:t>
            </w:r>
          </w:p>
          <w:p w14:paraId="1ADD31B0" w14:textId="2A396F6B" w:rsidR="0047446B" w:rsidRPr="00EC6DAF" w:rsidRDefault="004D7D66" w:rsidP="004D7D66">
            <w:pPr>
              <w:spacing w:line="276" w:lineRule="auto"/>
              <w:jc w:val="thaiDistribute"/>
            </w:pPr>
            <w:r w:rsidRPr="00EC6DAF">
              <w:t>Middle East</w:t>
            </w:r>
          </w:p>
        </w:tc>
        <w:tc>
          <w:tcPr>
            <w:tcW w:w="7795" w:type="dxa"/>
          </w:tcPr>
          <w:p w14:paraId="6E8BD466" w14:textId="77777777" w:rsidR="004D7D66" w:rsidRPr="00EC6DAF" w:rsidRDefault="004D7D66" w:rsidP="004D7D66">
            <w:pPr>
              <w:spacing w:line="276" w:lineRule="auto"/>
              <w:jc w:val="thaiDistribute"/>
            </w:pPr>
            <w:r w:rsidRPr="00EC6DAF">
              <w:t xml:space="preserve">a) Iran, Iraq, Yemen </w:t>
            </w:r>
          </w:p>
          <w:p w14:paraId="05602F5D" w14:textId="77777777" w:rsidR="004D7D66" w:rsidRPr="00EC6DAF" w:rsidRDefault="004D7D66" w:rsidP="004D7D66">
            <w:pPr>
              <w:spacing w:line="276" w:lineRule="auto"/>
              <w:jc w:val="thaiDistribute"/>
            </w:pPr>
            <w:r w:rsidRPr="00EC6DAF">
              <w:t xml:space="preserve">b) High income countries: Bahrain, Kuwait, Oman, Qatar, Saudi Arabia, United Arab </w:t>
            </w:r>
          </w:p>
          <w:p w14:paraId="32C7E9DB" w14:textId="5605C240" w:rsidR="0047446B" w:rsidRPr="00EC6DAF" w:rsidRDefault="004D7D66" w:rsidP="004D7D66">
            <w:pPr>
              <w:spacing w:line="276" w:lineRule="auto"/>
              <w:jc w:val="thaiDistribute"/>
            </w:pPr>
            <w:r w:rsidRPr="00EC6DAF">
              <w:t>Emirates</w:t>
            </w:r>
          </w:p>
        </w:tc>
      </w:tr>
      <w:tr w:rsidR="0047446B" w14:paraId="36B97883" w14:textId="77777777" w:rsidTr="0047446B">
        <w:trPr>
          <w:jc w:val="center"/>
        </w:trPr>
        <w:tc>
          <w:tcPr>
            <w:tcW w:w="1555" w:type="dxa"/>
          </w:tcPr>
          <w:p w14:paraId="76BB7F64" w14:textId="77777777" w:rsidR="004D7D66" w:rsidRPr="00EC6DAF" w:rsidRDefault="004D7D66" w:rsidP="004D7D66">
            <w:pPr>
              <w:spacing w:line="276" w:lineRule="auto"/>
              <w:jc w:val="thaiDistribute"/>
            </w:pPr>
            <w:r w:rsidRPr="00EC6DAF">
              <w:t xml:space="preserve">Region 8 </w:t>
            </w:r>
          </w:p>
          <w:p w14:paraId="53A697B4" w14:textId="12130C34" w:rsidR="0047446B" w:rsidRPr="00EC6DAF" w:rsidRDefault="004D7D66" w:rsidP="004D7D66">
            <w:pPr>
              <w:spacing w:line="276" w:lineRule="auto"/>
              <w:jc w:val="thaiDistribute"/>
            </w:pPr>
            <w:r w:rsidRPr="00EC6DAF">
              <w:t>Pacific</w:t>
            </w:r>
          </w:p>
        </w:tc>
        <w:tc>
          <w:tcPr>
            <w:tcW w:w="7795" w:type="dxa"/>
          </w:tcPr>
          <w:p w14:paraId="3916B20D" w14:textId="73EF3866" w:rsidR="0047446B" w:rsidRPr="00EC6DAF" w:rsidRDefault="004D7D66" w:rsidP="004D7D66">
            <w:pPr>
              <w:spacing w:line="276" w:lineRule="auto"/>
              <w:jc w:val="thaiDistribute"/>
            </w:pPr>
            <w:r w:rsidRPr="00EC6DAF">
              <w:t>a) Cook Islands, Fiji, Kiribati, Marshall Islands, Micronesia, Nauru, Niue, Palau, Papua New Guinea, Samoa, Solomon Islands, Timor-Leste, Tonga, Tuvalu, Vanuatu</w:t>
            </w:r>
            <w:r w:rsidRPr="00EC6DAF">
              <w:br/>
              <w:t>b) High income countries: Australia, New Zealand</w:t>
            </w:r>
          </w:p>
        </w:tc>
      </w:tr>
      <w:tr w:rsidR="0047446B" w14:paraId="309D5C30" w14:textId="77777777" w:rsidTr="0047446B">
        <w:trPr>
          <w:jc w:val="center"/>
        </w:trPr>
        <w:tc>
          <w:tcPr>
            <w:tcW w:w="1555" w:type="dxa"/>
          </w:tcPr>
          <w:p w14:paraId="32FD668C" w14:textId="3E851723" w:rsidR="0047446B" w:rsidRPr="00EC6DAF" w:rsidRDefault="004D7D66" w:rsidP="004D7D66">
            <w:pPr>
              <w:spacing w:line="276" w:lineRule="auto"/>
            </w:pPr>
            <w:r w:rsidRPr="00EC6DAF">
              <w:t>Region 9 Sub-Saharan Africa</w:t>
            </w:r>
          </w:p>
        </w:tc>
        <w:tc>
          <w:tcPr>
            <w:tcW w:w="7795" w:type="dxa"/>
          </w:tcPr>
          <w:p w14:paraId="3E53D19D" w14:textId="3AB0798A" w:rsidR="0047446B" w:rsidRPr="00EC6DAF" w:rsidRDefault="004D7D66" w:rsidP="004D7D66">
            <w:pPr>
              <w:spacing w:line="276" w:lineRule="auto"/>
              <w:jc w:val="thaiDistribute"/>
            </w:pPr>
            <w:r w:rsidRPr="00EC6DAF">
              <w:t xml:space="preserve">Angola, Benin, Botswana, Burkina Faso, Burundi, Cameroon, Cabo Verde, Central African Republic, Chad, Comoros, Congo, Congo - Democratic Republic of the, Côte d’Ivoire, Djibouti,  Equatorial Guinea, Eritrea, </w:t>
            </w:r>
            <w:proofErr w:type="spellStart"/>
            <w:r w:rsidRPr="00EC6DAF">
              <w:t>Eswatini</w:t>
            </w:r>
            <w:proofErr w:type="spellEnd"/>
            <w:r w:rsidRPr="00EC6DAF">
              <w:t>, Ethiopia, Gabon, Gambia, Ghana, Guinea, Guinea-Bissau,  Kenya, Lesotho, Liberia, Madagascar, Malawi, Mali, Mauritania, Mauritius, Mozambique, Namibia, Niger, Nigeria, Rwanda, Sao Tome and Principe, Senegal, Seychelles, Sierra Leone, Somalia, South Africa, South Sudan, Sudan, Tanzania, Togo, Uganda, Zambia, Zimbabwe</w:t>
            </w:r>
          </w:p>
        </w:tc>
      </w:tr>
      <w:tr w:rsidR="0047446B" w14:paraId="67E26787" w14:textId="77777777" w:rsidTr="0047446B">
        <w:trPr>
          <w:jc w:val="center"/>
        </w:trPr>
        <w:tc>
          <w:tcPr>
            <w:tcW w:w="1555" w:type="dxa"/>
          </w:tcPr>
          <w:p w14:paraId="6E362019" w14:textId="77777777" w:rsidR="004D7D66" w:rsidRPr="00EC6DAF" w:rsidRDefault="004D7D66" w:rsidP="004D7D66">
            <w:pPr>
              <w:spacing w:line="276" w:lineRule="auto"/>
              <w:jc w:val="thaiDistribute"/>
            </w:pPr>
            <w:r w:rsidRPr="00EC6DAF">
              <w:t xml:space="preserve">Region 10 </w:t>
            </w:r>
          </w:p>
          <w:p w14:paraId="323DF147" w14:textId="2D7A3E78" w:rsidR="0047446B" w:rsidRPr="00EC6DAF" w:rsidRDefault="004D7D66" w:rsidP="004D7D66">
            <w:pPr>
              <w:spacing w:line="276" w:lineRule="auto"/>
              <w:jc w:val="thaiDistribute"/>
            </w:pPr>
            <w:r w:rsidRPr="00EC6DAF">
              <w:t>Latin America</w:t>
            </w:r>
          </w:p>
        </w:tc>
        <w:tc>
          <w:tcPr>
            <w:tcW w:w="7795" w:type="dxa"/>
          </w:tcPr>
          <w:p w14:paraId="0D5DF08F" w14:textId="634BFAA1" w:rsidR="0047446B" w:rsidRPr="00EC6DAF" w:rsidRDefault="004D7D66" w:rsidP="004D7D66">
            <w:pPr>
              <w:spacing w:line="276" w:lineRule="auto"/>
              <w:jc w:val="thaiDistribute"/>
            </w:pPr>
            <w:r w:rsidRPr="00EC6DAF">
              <w:t xml:space="preserve">Argentina, Bolivia, Brazil, Chile, Colombia, Costa Rica, Ecuador, El Salvador, Guatemala, Honduras, Mexico, Nicaragua, Panama, Paraguay, Peru, Uruguay and Venezuela  </w:t>
            </w:r>
          </w:p>
        </w:tc>
      </w:tr>
      <w:tr w:rsidR="0047446B" w14:paraId="1C926209" w14:textId="77777777" w:rsidTr="0047446B">
        <w:trPr>
          <w:jc w:val="center"/>
        </w:trPr>
        <w:tc>
          <w:tcPr>
            <w:tcW w:w="1555" w:type="dxa"/>
          </w:tcPr>
          <w:p w14:paraId="69E46CD5" w14:textId="77777777" w:rsidR="0047446B" w:rsidRPr="00EC6DAF" w:rsidRDefault="0047446B" w:rsidP="004D7D66">
            <w:pPr>
              <w:spacing w:line="276" w:lineRule="auto"/>
              <w:jc w:val="thaiDistribute"/>
            </w:pPr>
            <w:r w:rsidRPr="00EC6DAF">
              <w:t xml:space="preserve">Region 11 </w:t>
            </w:r>
          </w:p>
          <w:p w14:paraId="4AD748D8" w14:textId="7B301299" w:rsidR="0047446B" w:rsidRPr="00EC6DAF" w:rsidRDefault="0047446B" w:rsidP="004D7D66">
            <w:pPr>
              <w:spacing w:line="276" w:lineRule="auto"/>
              <w:jc w:val="thaiDistribute"/>
            </w:pPr>
            <w:r w:rsidRPr="00EC6DAF">
              <w:t>Caribbean</w:t>
            </w:r>
          </w:p>
        </w:tc>
        <w:tc>
          <w:tcPr>
            <w:tcW w:w="7795" w:type="dxa"/>
          </w:tcPr>
          <w:p w14:paraId="003B3362" w14:textId="55AD099D" w:rsidR="0047446B" w:rsidRPr="00EC6DAF" w:rsidRDefault="0047446B" w:rsidP="004D7D66">
            <w:pPr>
              <w:spacing w:line="276" w:lineRule="auto"/>
              <w:jc w:val="thaiDistribute"/>
            </w:pPr>
            <w:r w:rsidRPr="00EC6DAF">
              <w:t xml:space="preserve">Antigua &amp; Barbuda, Bahamas, Barbados, Belize, Cuba, Dominica, Dominican Republic, Grenada, Guyana, Haiti, Jamaica, St Kitts and Nevis, St Lucia, St Vincent &amp; Grenadines, Suriname and </w:t>
            </w:r>
          </w:p>
          <w:p w14:paraId="401263FB" w14:textId="7A2EF28A" w:rsidR="0047446B" w:rsidRPr="00EC6DAF" w:rsidRDefault="0047446B" w:rsidP="004D7D66">
            <w:pPr>
              <w:spacing w:line="276" w:lineRule="auto"/>
              <w:jc w:val="thaiDistribute"/>
            </w:pPr>
            <w:r w:rsidRPr="00EC6DAF">
              <w:t>Trinidad &amp; Tobago</w:t>
            </w:r>
          </w:p>
        </w:tc>
      </w:tr>
      <w:tr w:rsidR="0047446B" w14:paraId="401EF6C9" w14:textId="77777777" w:rsidTr="0047446B">
        <w:trPr>
          <w:jc w:val="center"/>
        </w:trPr>
        <w:tc>
          <w:tcPr>
            <w:tcW w:w="1555" w:type="dxa"/>
          </w:tcPr>
          <w:p w14:paraId="25732B0E" w14:textId="77777777" w:rsidR="0047446B" w:rsidRPr="00EC6DAF" w:rsidRDefault="0047446B" w:rsidP="004D7D66">
            <w:pPr>
              <w:spacing w:line="276" w:lineRule="auto"/>
              <w:jc w:val="thaiDistribute"/>
            </w:pPr>
            <w:r w:rsidRPr="00EC6DAF">
              <w:t xml:space="preserve">Region 12 </w:t>
            </w:r>
          </w:p>
          <w:p w14:paraId="54EB0516" w14:textId="4E4779B9" w:rsidR="0047446B" w:rsidRPr="00EC6DAF" w:rsidRDefault="0047446B" w:rsidP="004D7D66">
            <w:pPr>
              <w:spacing w:line="276" w:lineRule="auto"/>
              <w:jc w:val="thaiDistribute"/>
            </w:pPr>
            <w:r w:rsidRPr="00EC6DAF">
              <w:t>US and Canada</w:t>
            </w:r>
          </w:p>
        </w:tc>
        <w:tc>
          <w:tcPr>
            <w:tcW w:w="7795" w:type="dxa"/>
          </w:tcPr>
          <w:p w14:paraId="572EF94E" w14:textId="00A20BBD" w:rsidR="0047446B" w:rsidRPr="00EC6DAF" w:rsidRDefault="0047446B" w:rsidP="004D7D66">
            <w:pPr>
              <w:spacing w:line="276" w:lineRule="auto"/>
              <w:jc w:val="thaiDistribute"/>
            </w:pPr>
            <w:r w:rsidRPr="00EC6DAF">
              <w:t>United States of America, Canada</w:t>
            </w:r>
          </w:p>
        </w:tc>
      </w:tr>
      <w:tr w:rsidR="0047446B" w14:paraId="3B4BABBE" w14:textId="77777777" w:rsidTr="0047446B">
        <w:trPr>
          <w:jc w:val="center"/>
        </w:trPr>
        <w:tc>
          <w:tcPr>
            <w:tcW w:w="1555" w:type="dxa"/>
          </w:tcPr>
          <w:p w14:paraId="1506422E" w14:textId="6B1831AA" w:rsidR="0047446B" w:rsidRPr="00EC6DAF" w:rsidRDefault="0047446B" w:rsidP="004D7D66">
            <w:pPr>
              <w:spacing w:line="276" w:lineRule="auto"/>
              <w:jc w:val="thaiDistribute"/>
            </w:pPr>
            <w:r w:rsidRPr="00EC6DAF">
              <w:t>Region 13</w:t>
            </w:r>
          </w:p>
        </w:tc>
        <w:tc>
          <w:tcPr>
            <w:tcW w:w="7795" w:type="dxa"/>
          </w:tcPr>
          <w:p w14:paraId="2C25A585" w14:textId="45366B31" w:rsidR="0047446B" w:rsidRPr="00EC6DAF" w:rsidRDefault="0047446B" w:rsidP="004D7D66">
            <w:pPr>
              <w:spacing w:line="276" w:lineRule="auto"/>
              <w:jc w:val="thaiDistribute"/>
            </w:pPr>
            <w:r w:rsidRPr="00EC6DAF">
              <w:t>Andorra, Monaco, San Marino, Vatican City State</w:t>
            </w:r>
          </w:p>
        </w:tc>
      </w:tr>
      <w:tr w:rsidR="0047446B" w14:paraId="61031A25" w14:textId="77777777" w:rsidTr="0047446B">
        <w:trPr>
          <w:jc w:val="center"/>
        </w:trPr>
        <w:tc>
          <w:tcPr>
            <w:tcW w:w="1555" w:type="dxa"/>
          </w:tcPr>
          <w:p w14:paraId="704C51B5" w14:textId="240B0815" w:rsidR="0047446B" w:rsidRPr="00EC6DAF" w:rsidRDefault="0047446B" w:rsidP="004D7D66">
            <w:pPr>
              <w:spacing w:line="276" w:lineRule="auto"/>
              <w:jc w:val="thaiDistribute"/>
            </w:pPr>
            <w:r w:rsidRPr="00EC6DAF">
              <w:t>Region 14</w:t>
            </w:r>
          </w:p>
        </w:tc>
        <w:tc>
          <w:tcPr>
            <w:tcW w:w="7795" w:type="dxa"/>
          </w:tcPr>
          <w:p w14:paraId="3AE7931A" w14:textId="2AAFBCE6" w:rsidR="0047446B" w:rsidRPr="00EC6DAF" w:rsidRDefault="0047446B" w:rsidP="004D7D66">
            <w:pPr>
              <w:spacing w:line="276" w:lineRule="auto"/>
              <w:jc w:val="thaiDistribute"/>
            </w:pPr>
            <w:r w:rsidRPr="00EC6DAF">
              <w:t>Faroe Islands, Switzerland, United Kingdom</w:t>
            </w:r>
          </w:p>
        </w:tc>
      </w:tr>
    </w:tbl>
    <w:p w14:paraId="57B41C2C" w14:textId="77777777" w:rsidR="004C1FF4" w:rsidRDefault="004C1FF4" w:rsidP="004C1FF4">
      <w:pPr>
        <w:jc w:val="thaiDistribute"/>
      </w:pPr>
    </w:p>
    <w:p w14:paraId="36E28567" w14:textId="203DB973" w:rsidR="004C1FF4" w:rsidRDefault="004C1FF4" w:rsidP="004C1FF4">
      <w:pPr>
        <w:jc w:val="thaiDistribute"/>
      </w:pPr>
    </w:p>
    <w:sectPr w:rsidR="004C1FF4" w:rsidSect="008A6080">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91BC1"/>
    <w:multiLevelType w:val="multilevel"/>
    <w:tmpl w:val="004A7936"/>
    <w:lvl w:ilvl="0">
      <w:start w:val="1"/>
      <w:numFmt w:val="bullet"/>
      <w:lvlText w:val=""/>
      <w:lvlJc w:val="left"/>
      <w:pPr>
        <w:tabs>
          <w:tab w:val="num" w:pos="1080"/>
        </w:tabs>
        <w:ind w:left="1080" w:hanging="360"/>
      </w:pPr>
      <w:rPr>
        <w:rFonts w:ascii="Wingdings" w:hAnsi="Wingdings" w:hint="default"/>
        <w:position w:val="-4"/>
        <w:sz w:val="32"/>
        <w:szCs w:val="4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00842F8"/>
    <w:multiLevelType w:val="hybridMultilevel"/>
    <w:tmpl w:val="19B6CC9E"/>
    <w:lvl w:ilvl="0" w:tplc="95DCB3AA">
      <w:start w:val="1"/>
      <w:numFmt w:val="bullet"/>
      <w:lvlText w:val=""/>
      <w:lvlJc w:val="left"/>
      <w:pPr>
        <w:ind w:left="1080" w:hanging="360"/>
      </w:pPr>
      <w:rPr>
        <w:rFonts w:ascii="Wingdings" w:hAnsi="Wingdings" w:hint="default"/>
        <w:position w:val="-4"/>
        <w:sz w:val="32"/>
        <w:szCs w:val="32"/>
      </w:rPr>
    </w:lvl>
    <w:lvl w:ilvl="1" w:tplc="95DCB3AA">
      <w:start w:val="1"/>
      <w:numFmt w:val="bullet"/>
      <w:lvlText w:val=""/>
      <w:lvlJc w:val="left"/>
      <w:pPr>
        <w:ind w:left="1800" w:hanging="360"/>
      </w:pPr>
      <w:rPr>
        <w:rFonts w:ascii="Wingdings" w:hAnsi="Wingdings" w:hint="default"/>
        <w:position w:val="-4"/>
        <w:sz w:val="32"/>
        <w:szCs w:val="3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A7"/>
    <w:rsid w:val="000A26AB"/>
    <w:rsid w:val="000B1760"/>
    <w:rsid w:val="000B2172"/>
    <w:rsid w:val="0010147F"/>
    <w:rsid w:val="0017286B"/>
    <w:rsid w:val="001B57AA"/>
    <w:rsid w:val="001C790E"/>
    <w:rsid w:val="00200594"/>
    <w:rsid w:val="002165E0"/>
    <w:rsid w:val="00247331"/>
    <w:rsid w:val="002A6D3B"/>
    <w:rsid w:val="002B0D68"/>
    <w:rsid w:val="003153A8"/>
    <w:rsid w:val="00323D7F"/>
    <w:rsid w:val="00337D5D"/>
    <w:rsid w:val="003539B0"/>
    <w:rsid w:val="00365C61"/>
    <w:rsid w:val="003D49CF"/>
    <w:rsid w:val="00402676"/>
    <w:rsid w:val="0041465F"/>
    <w:rsid w:val="00415407"/>
    <w:rsid w:val="0047446B"/>
    <w:rsid w:val="004C1FF4"/>
    <w:rsid w:val="004C208F"/>
    <w:rsid w:val="004D7D66"/>
    <w:rsid w:val="005674FC"/>
    <w:rsid w:val="005B0CFD"/>
    <w:rsid w:val="005E1F7B"/>
    <w:rsid w:val="005F0E68"/>
    <w:rsid w:val="006131A7"/>
    <w:rsid w:val="006A7C9F"/>
    <w:rsid w:val="00701EF2"/>
    <w:rsid w:val="00721771"/>
    <w:rsid w:val="007F5745"/>
    <w:rsid w:val="00800B7C"/>
    <w:rsid w:val="008265F0"/>
    <w:rsid w:val="0084199B"/>
    <w:rsid w:val="00871968"/>
    <w:rsid w:val="008A6080"/>
    <w:rsid w:val="008F5004"/>
    <w:rsid w:val="00960C60"/>
    <w:rsid w:val="00A30247"/>
    <w:rsid w:val="00A5423B"/>
    <w:rsid w:val="00A639DD"/>
    <w:rsid w:val="00AD1FFB"/>
    <w:rsid w:val="00B31C0D"/>
    <w:rsid w:val="00B44DB4"/>
    <w:rsid w:val="00BA1FC2"/>
    <w:rsid w:val="00BB7A21"/>
    <w:rsid w:val="00C40348"/>
    <w:rsid w:val="00C8283E"/>
    <w:rsid w:val="00C95D73"/>
    <w:rsid w:val="00CD7E97"/>
    <w:rsid w:val="00D1006C"/>
    <w:rsid w:val="00D658FF"/>
    <w:rsid w:val="00DD1005"/>
    <w:rsid w:val="00DE1D56"/>
    <w:rsid w:val="00E805B2"/>
    <w:rsid w:val="00EC0CC6"/>
    <w:rsid w:val="00EC6DAF"/>
    <w:rsid w:val="00F54EDB"/>
    <w:rsid w:val="00F77431"/>
    <w:rsid w:val="00FB4E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8433"/>
  <w15:chartTrackingRefBased/>
  <w15:docId w15:val="{96E08F26-E341-4AE9-A1C3-943B1BE2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1A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131A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131A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13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A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131A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131A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13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1A7"/>
    <w:rPr>
      <w:rFonts w:eastAsiaTheme="majorEastAsia" w:cstheme="majorBidi"/>
      <w:color w:val="272727" w:themeColor="text1" w:themeTint="D8"/>
    </w:rPr>
  </w:style>
  <w:style w:type="paragraph" w:styleId="Title">
    <w:name w:val="Title"/>
    <w:basedOn w:val="Normal"/>
    <w:next w:val="Normal"/>
    <w:link w:val="TitleChar"/>
    <w:uiPriority w:val="10"/>
    <w:qFormat/>
    <w:rsid w:val="006131A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131A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131A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131A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131A7"/>
    <w:pPr>
      <w:spacing w:before="160"/>
      <w:jc w:val="center"/>
    </w:pPr>
    <w:rPr>
      <w:i/>
      <w:iCs/>
      <w:color w:val="404040" w:themeColor="text1" w:themeTint="BF"/>
    </w:rPr>
  </w:style>
  <w:style w:type="character" w:customStyle="1" w:styleId="QuoteChar">
    <w:name w:val="Quote Char"/>
    <w:basedOn w:val="DefaultParagraphFont"/>
    <w:link w:val="Quote"/>
    <w:uiPriority w:val="29"/>
    <w:rsid w:val="006131A7"/>
    <w:rPr>
      <w:i/>
      <w:iCs/>
      <w:color w:val="404040" w:themeColor="text1" w:themeTint="BF"/>
    </w:rPr>
  </w:style>
  <w:style w:type="paragraph" w:styleId="ListParagraph">
    <w:name w:val="List Paragraph"/>
    <w:basedOn w:val="Normal"/>
    <w:uiPriority w:val="34"/>
    <w:qFormat/>
    <w:rsid w:val="006131A7"/>
    <w:pPr>
      <w:ind w:left="720"/>
      <w:contextualSpacing/>
    </w:pPr>
  </w:style>
  <w:style w:type="character" w:styleId="IntenseEmphasis">
    <w:name w:val="Intense Emphasis"/>
    <w:basedOn w:val="DefaultParagraphFont"/>
    <w:uiPriority w:val="21"/>
    <w:qFormat/>
    <w:rsid w:val="006131A7"/>
    <w:rPr>
      <w:i/>
      <w:iCs/>
      <w:color w:val="0F4761" w:themeColor="accent1" w:themeShade="BF"/>
    </w:rPr>
  </w:style>
  <w:style w:type="paragraph" w:styleId="IntenseQuote">
    <w:name w:val="Intense Quote"/>
    <w:basedOn w:val="Normal"/>
    <w:next w:val="Normal"/>
    <w:link w:val="IntenseQuoteChar"/>
    <w:uiPriority w:val="30"/>
    <w:qFormat/>
    <w:rsid w:val="00613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1A7"/>
    <w:rPr>
      <w:i/>
      <w:iCs/>
      <w:color w:val="0F4761" w:themeColor="accent1" w:themeShade="BF"/>
    </w:rPr>
  </w:style>
  <w:style w:type="character" w:styleId="IntenseReference">
    <w:name w:val="Intense Reference"/>
    <w:basedOn w:val="DefaultParagraphFont"/>
    <w:uiPriority w:val="32"/>
    <w:qFormat/>
    <w:rsid w:val="006131A7"/>
    <w:rPr>
      <w:b/>
      <w:bCs/>
      <w:smallCaps/>
      <w:color w:val="0F4761" w:themeColor="accent1" w:themeShade="BF"/>
      <w:spacing w:val="5"/>
    </w:rPr>
  </w:style>
  <w:style w:type="paragraph" w:styleId="BalloonText">
    <w:name w:val="Balloon Text"/>
    <w:basedOn w:val="Normal"/>
    <w:link w:val="BalloonTextChar"/>
    <w:uiPriority w:val="99"/>
    <w:semiHidden/>
    <w:unhideWhenUsed/>
    <w:rsid w:val="003539B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539B0"/>
    <w:rPr>
      <w:rFonts w:ascii="Segoe UI" w:hAnsi="Segoe UI" w:cs="Angsana New"/>
      <w:sz w:val="18"/>
      <w:szCs w:val="22"/>
    </w:rPr>
  </w:style>
  <w:style w:type="table" w:styleId="TableGrid">
    <w:name w:val="Table Grid"/>
    <w:basedOn w:val="TableNormal"/>
    <w:uiPriority w:val="39"/>
    <w:rsid w:val="004C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90250">
      <w:bodyDiv w:val="1"/>
      <w:marLeft w:val="0"/>
      <w:marRight w:val="0"/>
      <w:marTop w:val="0"/>
      <w:marBottom w:val="0"/>
      <w:divBdr>
        <w:top w:val="none" w:sz="0" w:space="0" w:color="auto"/>
        <w:left w:val="none" w:sz="0" w:space="0" w:color="auto"/>
        <w:bottom w:val="none" w:sz="0" w:space="0" w:color="auto"/>
        <w:right w:val="none" w:sz="0" w:space="0" w:color="auto"/>
      </w:divBdr>
    </w:div>
    <w:div w:id="556939004">
      <w:bodyDiv w:val="1"/>
      <w:marLeft w:val="0"/>
      <w:marRight w:val="0"/>
      <w:marTop w:val="0"/>
      <w:marBottom w:val="0"/>
      <w:divBdr>
        <w:top w:val="none" w:sz="0" w:space="0" w:color="auto"/>
        <w:left w:val="none" w:sz="0" w:space="0" w:color="auto"/>
        <w:bottom w:val="none" w:sz="0" w:space="0" w:color="auto"/>
        <w:right w:val="none" w:sz="0" w:space="0" w:color="auto"/>
      </w:divBdr>
    </w:div>
    <w:div w:id="1706786076">
      <w:bodyDiv w:val="1"/>
      <w:marLeft w:val="0"/>
      <w:marRight w:val="0"/>
      <w:marTop w:val="0"/>
      <w:marBottom w:val="0"/>
      <w:divBdr>
        <w:top w:val="none" w:sz="0" w:space="0" w:color="auto"/>
        <w:left w:val="none" w:sz="0" w:space="0" w:color="auto"/>
        <w:bottom w:val="none" w:sz="0" w:space="0" w:color="auto"/>
        <w:right w:val="none" w:sz="0" w:space="0" w:color="auto"/>
      </w:divBdr>
    </w:div>
    <w:div w:id="1982029526">
      <w:bodyDiv w:val="1"/>
      <w:marLeft w:val="0"/>
      <w:marRight w:val="0"/>
      <w:marTop w:val="0"/>
      <w:marBottom w:val="0"/>
      <w:divBdr>
        <w:top w:val="none" w:sz="0" w:space="0" w:color="auto"/>
        <w:left w:val="none" w:sz="0" w:space="0" w:color="auto"/>
        <w:bottom w:val="none" w:sz="0" w:space="0" w:color="auto"/>
        <w:right w:val="none" w:sz="0" w:space="0" w:color="auto"/>
      </w:divBdr>
    </w:div>
    <w:div w:id="19912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sarunyavud kangwanwongphaisan</dc:creator>
  <cp:keywords/>
  <dc:description/>
  <cp:lastModifiedBy>treerus direkpitak</cp:lastModifiedBy>
  <cp:revision>2</cp:revision>
  <cp:lastPrinted>2024-03-07T07:29:00Z</cp:lastPrinted>
  <dcterms:created xsi:type="dcterms:W3CDTF">2024-03-12T04:08:00Z</dcterms:created>
  <dcterms:modified xsi:type="dcterms:W3CDTF">2024-03-12T04:08:00Z</dcterms:modified>
</cp:coreProperties>
</file>